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仿宋_GB2312" w:hAnsi="仿宋_GB2312" w:eastAsia="仿宋_GB2312" w:cs="仿宋_GB2312"/>
          <w:sz w:val="44"/>
          <w:szCs w:val="44"/>
        </w:rPr>
      </w:pPr>
      <w:r>
        <w:rPr>
          <w:rFonts w:hint="eastAsia" w:ascii="隶书" w:hAnsi="隶书" w:eastAsia="隶书" w:cs="隶书"/>
          <w:sz w:val="52"/>
          <w:szCs w:val="52"/>
        </w:rPr>
        <w:t>开封文化艺术职业学院</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headerReference r:id="rId3" w:type="default"/>
          <w:headerReference r:id="rId4" w:type="even"/>
          <w:pgSz w:w="11906" w:h="16838"/>
          <w:pgMar w:top="1440" w:right="1531" w:bottom="1440" w:left="1587" w:header="850" w:footer="992" w:gutter="0"/>
          <w:pgNumType w:fmt="numberInDash" w:start="1"/>
          <w:cols w:space="0" w:num="1"/>
          <w:docGrid w:type="lines" w:linePitch="317" w:charSpace="0"/>
        </w:sectPr>
      </w:pPr>
      <w:r>
        <w:rPr>
          <w:rFonts w:ascii="隶书" w:hAnsi="隶书" w:eastAsia="隶书" w:cs="隶书"/>
          <w:sz w:val="52"/>
          <w:szCs w:val="52"/>
        </w:rPr>
        <w:t>201</w:t>
      </w:r>
      <w:r>
        <w:rPr>
          <w:rFonts w:hint="eastAsia" w:ascii="隶书" w:hAnsi="隶书" w:eastAsia="隶书" w:cs="隶书"/>
          <w:sz w:val="52"/>
          <w:szCs w:val="52"/>
        </w:rPr>
        <w:t>7年度部门决算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开封文化艺术职业学院概况</w:t>
      </w:r>
    </w:p>
    <w:p>
      <w:pPr>
        <w:jc w:val="left"/>
        <w:rPr>
          <w:rFonts w:ascii="宋体" w:cs="宋体"/>
          <w:sz w:val="32"/>
          <w:szCs w:val="32"/>
        </w:rPr>
      </w:pPr>
      <w:r>
        <w:rPr>
          <w:rFonts w:hint="eastAsia" w:ascii="宋体" w:hAnsi="宋体" w:cs="宋体"/>
          <w:sz w:val="32"/>
          <w:szCs w:val="32"/>
        </w:rPr>
        <w:t>一、主要职责</w:t>
      </w:r>
    </w:p>
    <w:p>
      <w:pPr>
        <w:jc w:val="left"/>
        <w:rPr>
          <w:rFonts w:ascii="黑体" w:hAnsi="黑体" w:eastAsia="黑体" w:cs="黑体"/>
          <w:sz w:val="32"/>
          <w:szCs w:val="32"/>
        </w:rPr>
      </w:pPr>
      <w:r>
        <w:rPr>
          <w:rFonts w:hint="eastAsia" w:ascii="宋体" w:hAnsi="宋体" w:cs="宋体"/>
          <w:sz w:val="32"/>
          <w:szCs w:val="32"/>
        </w:rPr>
        <w:t>二、部门机构设置及决算单位构成</w:t>
      </w:r>
    </w:p>
    <w:p>
      <w:pPr>
        <w:jc w:val="left"/>
        <w:rPr>
          <w:rFonts w:ascii="黑体" w:hAnsi="黑体" w:eastAsia="黑体" w:cs="黑体"/>
          <w:sz w:val="32"/>
          <w:szCs w:val="32"/>
        </w:rPr>
      </w:pPr>
      <w:r>
        <w:rPr>
          <w:rFonts w:hint="eastAsia" w:ascii="黑体" w:hAnsi="黑体" w:eastAsia="黑体" w:cs="黑体"/>
          <w:sz w:val="32"/>
          <w:szCs w:val="32"/>
        </w:rPr>
        <w:t>第二部分　　开封文化艺术职业学院</w:t>
      </w:r>
      <w:r>
        <w:rPr>
          <w:rFonts w:ascii="黑体" w:hAnsi="黑体" w:eastAsia="黑体" w:cs="黑体"/>
          <w:sz w:val="32"/>
          <w:szCs w:val="32"/>
        </w:rPr>
        <w:t>201</w:t>
      </w:r>
      <w:r>
        <w:rPr>
          <w:rFonts w:hint="eastAsia" w:ascii="黑体" w:hAnsi="黑体" w:eastAsia="黑体" w:cs="黑体"/>
          <w:sz w:val="32"/>
          <w:szCs w:val="32"/>
        </w:rPr>
        <w:t>7年度部门决算表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开封文化艺术职业学院</w:t>
      </w:r>
      <w:r>
        <w:rPr>
          <w:rFonts w:ascii="黑体" w:hAnsi="黑体" w:eastAsia="黑体" w:cs="黑体"/>
          <w:sz w:val="32"/>
          <w:szCs w:val="32"/>
        </w:rPr>
        <w:t>201</w:t>
      </w:r>
      <w:r>
        <w:rPr>
          <w:rFonts w:hint="eastAsia" w:ascii="黑体" w:hAnsi="黑体" w:eastAsia="黑体" w:cs="黑体"/>
          <w:sz w:val="32"/>
          <w:szCs w:val="32"/>
        </w:rPr>
        <w:t>7年度部门决算情况说明</w:t>
      </w:r>
    </w:p>
    <w:p>
      <w:pPr>
        <w:jc w:val="left"/>
        <w:rPr>
          <w:rFonts w:ascii="黑体" w:hAnsi="黑体" w:eastAsia="黑体" w:cs="黑体"/>
          <w:sz w:val="32"/>
          <w:szCs w:val="32"/>
        </w:rPr>
        <w:sectPr>
          <w:footerReference r:id="rId6" w:type="default"/>
          <w:pgSz w:w="11906" w:h="16838"/>
          <w:pgMar w:top="1440" w:right="1531" w:bottom="1440" w:left="1587" w:header="850" w:footer="992" w:gutter="0"/>
          <w:pgNumType w:fmt="numberInDash"/>
          <w:cols w:space="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7" w:type="default"/>
          <w:pgSz w:w="11906" w:h="16838"/>
          <w:pgMar w:top="1440" w:right="1531" w:bottom="1440" w:left="1587" w:header="850" w:footer="992" w:gutter="0"/>
          <w:pgNumType w:fmt="numberInDash" w:start="1"/>
          <w:cols w:space="0" w:num="1"/>
          <w:docGrid w:type="lines" w:linePitch="317" w:charSpace="0"/>
        </w:sectPr>
      </w:pPr>
      <w:r>
        <w:rPr>
          <w:rFonts w:hint="eastAsia" w:ascii="隶书" w:hAnsi="隶书" w:eastAsia="隶书" w:cs="隶书"/>
          <w:sz w:val="48"/>
          <w:szCs w:val="48"/>
        </w:rPr>
        <w:t>第一部分　　开封文化艺术职业学院概况</w:t>
      </w:r>
    </w:p>
    <w:p>
      <w:pPr>
        <w:ind w:firstLine="640"/>
        <w:rPr>
          <w:rFonts w:ascii="宋体" w:hAnsi="宋体" w:cs="仿宋_GB2312"/>
          <w:sz w:val="32"/>
          <w:szCs w:val="32"/>
        </w:rPr>
      </w:pPr>
      <w:r>
        <w:rPr>
          <w:rFonts w:hint="eastAsia" w:ascii="宋体" w:hAnsi="宋体" w:cs="仿宋_GB2312"/>
          <w:sz w:val="32"/>
          <w:szCs w:val="32"/>
        </w:rPr>
        <w:t>我院是由开封市人民政府举办的一所普通高等职业院校，创立于2010年，整合了原开封教育学院、第一师范、第二师范、职工大学、广播电视大学等优质教育资源。学院前身可追溯到1908年创办的中州女学堂。百余年间，文脉绵延，弦歌不辍。学院以高等职业教育和师范教育为主，培养高素质技术技能型人才和中小学、幼教师资。是教育部首批“现代学徒制”试点单位、河南省首批高等职业教育特色院校、河南省学前教育专业“双师型”教师培养培训基地、河南省非物质文化遗产研究基地，还是河南省文明单位。</w:t>
      </w:r>
    </w:p>
    <w:p>
      <w:pPr>
        <w:ind w:firstLine="640"/>
        <w:rPr>
          <w:rFonts w:ascii="宋体" w:hAnsi="宋体" w:cs="仿宋_GB2312"/>
          <w:sz w:val="32"/>
          <w:szCs w:val="32"/>
        </w:rPr>
      </w:pPr>
      <w:r>
        <w:rPr>
          <w:rFonts w:hint="eastAsia" w:ascii="宋体" w:hAnsi="宋体" w:cs="仿宋_GB2312"/>
          <w:sz w:val="32"/>
          <w:szCs w:val="32"/>
        </w:rPr>
        <w:t>学院坐落于“八朝古都”、“历史文化名城”开封市区北隅，东临风景如画的龙亭湖景区、西接蓬勃发展的郑汴新区。紧靠郑开大道和连霍高速，交通便利，与巍巍古城墙咫尺之隔，古韵悠然。学院规划面积550亩，建筑面积21万平方米, 各类固定资产总值17300余万元。教学条件先进，生活设施齐备，环境优美宜人，文化底蕴丰厚，艺术氛围浓郁，是莘莘学子求学成才的理想之地。</w:t>
      </w:r>
    </w:p>
    <w:p>
      <w:pPr>
        <w:adjustRightInd w:val="0"/>
        <w:snapToGrid w:val="0"/>
        <w:spacing w:line="360" w:lineRule="auto"/>
        <w:ind w:firstLine="643" w:firstLineChars="200"/>
        <w:rPr>
          <w:rFonts w:ascii="宋体" w:hAnsi="宋体"/>
          <w:b/>
          <w:sz w:val="32"/>
          <w:szCs w:val="32"/>
        </w:rPr>
      </w:pPr>
      <w:r>
        <w:rPr>
          <w:rFonts w:hint="eastAsia" w:ascii="宋体" w:hAnsi="宋体"/>
          <w:b/>
          <w:sz w:val="32"/>
          <w:szCs w:val="32"/>
        </w:rPr>
        <w:t>一、开封文化艺术职业学院主要职责</w:t>
      </w:r>
    </w:p>
    <w:p>
      <w:pPr>
        <w:adjustRightInd w:val="0"/>
        <w:snapToGrid w:val="0"/>
        <w:spacing w:line="360" w:lineRule="auto"/>
        <w:ind w:firstLine="640" w:firstLineChars="200"/>
        <w:rPr>
          <w:rFonts w:ascii="宋体" w:hAnsi="宋体" w:cs="Courier New"/>
          <w:sz w:val="32"/>
          <w:szCs w:val="32"/>
        </w:rPr>
      </w:pPr>
      <w:r>
        <w:rPr>
          <w:rFonts w:ascii="宋体" w:hAnsi="宋体" w:cs="Courier New"/>
          <w:sz w:val="32"/>
          <w:szCs w:val="32"/>
        </w:rPr>
        <w:t>1</w:t>
      </w:r>
      <w:r>
        <w:rPr>
          <w:rFonts w:hint="eastAsia" w:ascii="宋体" w:hAnsi="宋体" w:cs="Courier New"/>
          <w:sz w:val="32"/>
          <w:szCs w:val="32"/>
        </w:rPr>
        <w:t>、坚持社会主义办学方向，全面贯彻党的教育方针，培养高等教育专科学历的高素质技能型人才。</w:t>
      </w:r>
    </w:p>
    <w:p>
      <w:pPr>
        <w:adjustRightInd w:val="0"/>
        <w:snapToGrid w:val="0"/>
        <w:spacing w:line="360" w:lineRule="auto"/>
        <w:ind w:firstLine="640" w:firstLineChars="200"/>
        <w:rPr>
          <w:rFonts w:ascii="宋体" w:hAnsi="宋体" w:cs="Courier New"/>
          <w:sz w:val="32"/>
          <w:szCs w:val="32"/>
        </w:rPr>
      </w:pPr>
      <w:r>
        <w:rPr>
          <w:rFonts w:hint="eastAsia" w:ascii="宋体" w:hAnsi="宋体" w:cs="Courier New"/>
          <w:sz w:val="32"/>
          <w:szCs w:val="32"/>
        </w:rPr>
        <w:t>2、文化艺术类、师范教育类、公共服务类专业高等专科学历教育。</w:t>
      </w:r>
    </w:p>
    <w:p>
      <w:pPr>
        <w:spacing w:line="360" w:lineRule="auto"/>
        <w:ind w:firstLine="640" w:firstLineChars="200"/>
        <w:jc w:val="left"/>
        <w:outlineLvl w:val="1"/>
        <w:rPr>
          <w:rFonts w:ascii="黑体" w:hAnsi="黑体" w:eastAsia="黑体" w:cs="黑体"/>
          <w:sz w:val="32"/>
          <w:szCs w:val="32"/>
        </w:rPr>
      </w:pPr>
      <w:r>
        <w:rPr>
          <w:rFonts w:hint="eastAsia" w:ascii="宋体" w:hAnsi="宋体" w:cs="Courier New"/>
          <w:sz w:val="32"/>
          <w:szCs w:val="32"/>
        </w:rPr>
        <w:t>3、高校科学研究、继续教育、专业培训、学术交流、社会服务等工作。</w:t>
      </w:r>
    </w:p>
    <w:p>
      <w:pPr>
        <w:adjustRightInd w:val="0"/>
        <w:snapToGrid w:val="0"/>
        <w:spacing w:line="360" w:lineRule="auto"/>
        <w:ind w:firstLine="723" w:firstLineChars="225"/>
        <w:rPr>
          <w:rFonts w:ascii="宋体" w:hAnsi="宋体"/>
          <w:b/>
          <w:sz w:val="32"/>
          <w:szCs w:val="32"/>
        </w:rPr>
      </w:pPr>
      <w:r>
        <w:rPr>
          <w:rFonts w:hint="eastAsia" w:ascii="宋体" w:hAnsi="宋体"/>
          <w:b/>
          <w:sz w:val="32"/>
          <w:szCs w:val="32"/>
        </w:rPr>
        <w:t>二、开封文化艺术职业学院部门机构设置及决算单位构成</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我院部门机构设置如下：</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1、根据市有关部门审批，学院内设党政管理部门13个：党委办公室、行政办公室、组织宣传部、人事处、教务处、学生处、总务处、计划财务处、膳管处、继续教育处、科研外事处、招生就业办公室、保卫处。</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2、内设纪检、群团部门3个：纪检监察室、工会、团委。</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3、内设教学系部13个：汉语言文学系、数学系、文化传媒系、外语系、管理系、信息电子系、体育系、音乐系、幼儿教育系、工艺美术系、基础部、教育科学系、五专部。</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4、根据工作需要，内设教学教辅等部门8个：文明办、学报编辑部、现教中心、图书馆、教学督导室、校企合作办、项目办、文化艺术研究所。</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5、根据办学要求，内设二级学院7个：英杰学院、早教学院、中航学院、健鼎学院、甲骨文软件学院、商鲲学院、新民学院。</w:t>
      </w:r>
    </w:p>
    <w:p>
      <w:pPr>
        <w:kinsoku w:val="0"/>
        <w:overflowPunct w:val="0"/>
        <w:adjustRightInd w:val="0"/>
        <w:snapToGrid w:val="0"/>
        <w:spacing w:line="360" w:lineRule="auto"/>
        <w:ind w:right="51" w:firstLine="640" w:firstLineChars="200"/>
        <w:jc w:val="left"/>
        <w:rPr>
          <w:rFonts w:ascii="宋体" w:hAnsi="宋体" w:cs="仿宋_GB2312"/>
          <w:sz w:val="32"/>
          <w:szCs w:val="32"/>
        </w:rPr>
      </w:pPr>
      <w:r>
        <w:rPr>
          <w:rFonts w:hint="eastAsia" w:ascii="宋体" w:hAnsi="宋体" w:cs="仿宋_GB2312"/>
          <w:sz w:val="32"/>
          <w:szCs w:val="32"/>
        </w:rPr>
        <w:t>开封文化艺术职业学院属于市级一级预算单位。</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开封文化艺术职业学院</w:t>
      </w:r>
      <w:r>
        <w:rPr>
          <w:rFonts w:ascii="隶书" w:hAnsi="隶书" w:eastAsia="隶书" w:cs="隶书"/>
          <w:sz w:val="48"/>
          <w:szCs w:val="48"/>
        </w:rPr>
        <w:t>201</w:t>
      </w:r>
      <w:r>
        <w:rPr>
          <w:rFonts w:hint="eastAsia" w:ascii="隶书" w:hAnsi="隶书" w:eastAsia="隶书" w:cs="隶书"/>
          <w:sz w:val="48"/>
          <w:szCs w:val="48"/>
        </w:rPr>
        <w:t>7年度部门决算表</w:t>
      </w:r>
    </w:p>
    <w:p>
      <w:pPr>
        <w:jc w:val="left"/>
        <w:rPr>
          <w:rFonts w:ascii="黑体" w:hAnsi="黑体" w:eastAsia="黑体" w:cs="黑体"/>
          <w:sz w:val="32"/>
          <w:szCs w:val="32"/>
        </w:rPr>
      </w:pPr>
    </w:p>
    <w:tbl>
      <w:tblPr>
        <w:tblStyle w:val="8"/>
        <w:tblW w:w="9075" w:type="dxa"/>
        <w:tblInd w:w="0" w:type="dxa"/>
        <w:tblLayout w:type="fixed"/>
        <w:tblCellMar>
          <w:top w:w="15" w:type="dxa"/>
          <w:left w:w="15" w:type="dxa"/>
          <w:bottom w:w="15" w:type="dxa"/>
          <w:right w:w="15" w:type="dxa"/>
        </w:tblCellMar>
      </w:tblPr>
      <w:tblGrid>
        <w:gridCol w:w="2257"/>
        <w:gridCol w:w="310"/>
        <w:gridCol w:w="167"/>
        <w:gridCol w:w="116"/>
        <w:gridCol w:w="1418"/>
        <w:gridCol w:w="3179"/>
        <w:gridCol w:w="500"/>
        <w:gridCol w:w="1128"/>
      </w:tblGrid>
      <w:tr>
        <w:tblPrEx>
          <w:tblLayout w:type="fixed"/>
          <w:tblCellMar>
            <w:top w:w="15" w:type="dxa"/>
            <w:left w:w="15" w:type="dxa"/>
            <w:bottom w:w="15" w:type="dxa"/>
            <w:right w:w="15" w:type="dxa"/>
          </w:tblCellMar>
        </w:tblPrEx>
        <w:trPr>
          <w:trHeight w:val="500" w:hRule="atLeast"/>
        </w:trPr>
        <w:tc>
          <w:tcPr>
            <w:tcW w:w="9075" w:type="dxa"/>
            <w:gridSpan w:val="8"/>
            <w:shd w:val="clear" w:color="auto" w:fill="auto"/>
            <w:vAlign w:val="bottom"/>
          </w:tcPr>
          <w:p>
            <w:pPr>
              <w:widowControl/>
              <w:jc w:val="center"/>
              <w:textAlignment w:val="bottom"/>
              <w:rPr>
                <w:rFonts w:ascii="宋体" w:hAnsi="宋体" w:cs="宋体"/>
                <w:color w:val="000000"/>
                <w:sz w:val="30"/>
                <w:szCs w:val="30"/>
              </w:rPr>
            </w:pPr>
            <w:r>
              <w:rPr>
                <w:rFonts w:hint="eastAsia" w:ascii="黑体" w:hAnsi="黑体" w:eastAsia="黑体" w:cs="黑体"/>
                <w:sz w:val="32"/>
                <w:szCs w:val="32"/>
              </w:rPr>
              <w:t>收入支出决算总表</w:t>
            </w:r>
          </w:p>
        </w:tc>
      </w:tr>
      <w:tr>
        <w:tblPrEx>
          <w:tblLayout w:type="fixed"/>
          <w:tblCellMar>
            <w:top w:w="15" w:type="dxa"/>
            <w:left w:w="15" w:type="dxa"/>
            <w:bottom w:w="15" w:type="dxa"/>
            <w:right w:w="15" w:type="dxa"/>
          </w:tblCellMar>
        </w:tblPrEx>
        <w:trPr>
          <w:trHeight w:val="195" w:hRule="atLeast"/>
        </w:trPr>
        <w:tc>
          <w:tcPr>
            <w:tcW w:w="2257" w:type="dxa"/>
            <w:shd w:val="clear" w:color="auto" w:fill="auto"/>
            <w:vAlign w:val="bottom"/>
          </w:tcPr>
          <w:p>
            <w:pPr>
              <w:rPr>
                <w:rFonts w:ascii="Arial" w:hAnsi="Arial" w:cs="Arial"/>
                <w:color w:val="000000"/>
                <w:sz w:val="20"/>
                <w:szCs w:val="20"/>
              </w:rPr>
            </w:pPr>
          </w:p>
        </w:tc>
        <w:tc>
          <w:tcPr>
            <w:tcW w:w="477" w:type="dxa"/>
            <w:gridSpan w:val="2"/>
            <w:shd w:val="clear" w:color="auto" w:fill="auto"/>
            <w:vAlign w:val="bottom"/>
          </w:tcPr>
          <w:p>
            <w:pPr>
              <w:rPr>
                <w:rFonts w:ascii="Arial" w:hAnsi="Arial" w:cs="Arial"/>
                <w:color w:val="000000"/>
                <w:sz w:val="20"/>
                <w:szCs w:val="20"/>
              </w:rPr>
            </w:pPr>
          </w:p>
        </w:tc>
        <w:tc>
          <w:tcPr>
            <w:tcW w:w="1534" w:type="dxa"/>
            <w:gridSpan w:val="2"/>
            <w:shd w:val="clear" w:color="auto" w:fill="auto"/>
            <w:vAlign w:val="bottom"/>
          </w:tcPr>
          <w:p>
            <w:pPr>
              <w:rPr>
                <w:rFonts w:ascii="Arial" w:hAnsi="Arial" w:cs="Arial"/>
                <w:color w:val="000000"/>
                <w:sz w:val="20"/>
                <w:szCs w:val="20"/>
              </w:rPr>
            </w:pPr>
          </w:p>
        </w:tc>
        <w:tc>
          <w:tcPr>
            <w:tcW w:w="3179" w:type="dxa"/>
            <w:shd w:val="clear" w:color="auto" w:fill="auto"/>
            <w:vAlign w:val="bottom"/>
          </w:tcPr>
          <w:p>
            <w:pPr>
              <w:rPr>
                <w:rFonts w:ascii="Arial" w:hAnsi="Arial" w:cs="Arial"/>
                <w:color w:val="000000"/>
                <w:sz w:val="20"/>
                <w:szCs w:val="20"/>
              </w:rPr>
            </w:pPr>
          </w:p>
        </w:tc>
        <w:tc>
          <w:tcPr>
            <w:tcW w:w="500" w:type="dxa"/>
            <w:shd w:val="clear" w:color="auto" w:fill="auto"/>
            <w:vAlign w:val="bottom"/>
          </w:tcPr>
          <w:p>
            <w:pPr>
              <w:rPr>
                <w:rFonts w:ascii="Arial" w:hAnsi="Arial" w:cs="Arial"/>
                <w:color w:val="000000"/>
                <w:sz w:val="20"/>
                <w:szCs w:val="20"/>
              </w:rPr>
            </w:pPr>
          </w:p>
        </w:tc>
        <w:tc>
          <w:tcPr>
            <w:tcW w:w="1128"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r>
        <w:tblPrEx>
          <w:tblLayout w:type="fixed"/>
          <w:tblCellMar>
            <w:top w:w="15" w:type="dxa"/>
            <w:left w:w="15" w:type="dxa"/>
            <w:bottom w:w="15" w:type="dxa"/>
            <w:right w:w="15" w:type="dxa"/>
          </w:tblCellMar>
        </w:tblPrEx>
        <w:trPr>
          <w:trHeight w:val="270" w:hRule="atLeast"/>
        </w:trPr>
        <w:tc>
          <w:tcPr>
            <w:tcW w:w="4268" w:type="dxa"/>
            <w:gridSpan w:val="5"/>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部门：河南省开封文化艺术职业学院</w:t>
            </w:r>
          </w:p>
        </w:tc>
        <w:tc>
          <w:tcPr>
            <w:tcW w:w="3179" w:type="dxa"/>
            <w:shd w:val="clear" w:color="auto" w:fill="auto"/>
            <w:vAlign w:val="bottom"/>
          </w:tcPr>
          <w:p>
            <w:pPr>
              <w:rPr>
                <w:rFonts w:ascii="Arial" w:hAnsi="Arial" w:cs="Arial"/>
                <w:color w:val="000000"/>
                <w:sz w:val="20"/>
                <w:szCs w:val="20"/>
              </w:rPr>
            </w:pPr>
          </w:p>
        </w:tc>
        <w:tc>
          <w:tcPr>
            <w:tcW w:w="500" w:type="dxa"/>
            <w:shd w:val="clear" w:color="auto" w:fill="auto"/>
            <w:vAlign w:val="bottom"/>
          </w:tcPr>
          <w:p>
            <w:pPr>
              <w:rPr>
                <w:rFonts w:ascii="Arial" w:hAnsi="Arial" w:cs="Arial"/>
                <w:color w:val="000000"/>
                <w:sz w:val="20"/>
                <w:szCs w:val="20"/>
              </w:rPr>
            </w:pPr>
          </w:p>
        </w:tc>
        <w:tc>
          <w:tcPr>
            <w:tcW w:w="1128"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270" w:hRule="atLeast"/>
        </w:trPr>
        <w:tc>
          <w:tcPr>
            <w:tcW w:w="4268" w:type="dxa"/>
            <w:gridSpan w:val="5"/>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807" w:type="dxa"/>
            <w:gridSpan w:val="3"/>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1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12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1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00" w:type="dxa"/>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28"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一、财政拨款收入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二、上级补助收入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三、事业收入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4,300.00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四、经营收入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五、附属单位上缴收入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13,582.56</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六、其他收入</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433.27</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七、文化体育与传媒支出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九、医疗卫生与计划生育支出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十四、资源勘探信息等支出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44</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十八、国土海洋气象等支出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46</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47</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二十一、其他支出</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3179"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本年收入合计</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15,542.50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本年支出合计</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15,377.95</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用事业基金弥补收支差额</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结余分配</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41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128"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164.55</w:t>
            </w: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3179"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12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567"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283"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41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ascii="宋体" w:hAnsi="宋体" w:cs="宋体"/>
                <w:color w:val="000000"/>
                <w:kern w:val="0"/>
                <w:sz w:val="22"/>
                <w:szCs w:val="22"/>
              </w:rPr>
              <w:t>15,542.50</w:t>
            </w:r>
          </w:p>
        </w:tc>
        <w:tc>
          <w:tcPr>
            <w:tcW w:w="317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5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54 </w:t>
            </w:r>
          </w:p>
        </w:tc>
        <w:tc>
          <w:tcPr>
            <w:tcW w:w="1128"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15,542.50</w:t>
            </w:r>
          </w:p>
        </w:tc>
      </w:tr>
      <w:tr>
        <w:tblPrEx>
          <w:tblLayout w:type="fixed"/>
          <w:tblCellMar>
            <w:top w:w="15" w:type="dxa"/>
            <w:left w:w="15" w:type="dxa"/>
            <w:bottom w:w="15" w:type="dxa"/>
            <w:right w:w="15" w:type="dxa"/>
          </w:tblCellMar>
        </w:tblPrEx>
        <w:trPr>
          <w:trHeight w:val="300" w:hRule="atLeast"/>
        </w:trPr>
        <w:tc>
          <w:tcPr>
            <w:tcW w:w="9075" w:type="dxa"/>
            <w:gridSpan w:val="8"/>
            <w:tcBorders>
              <w:left w:val="single" w:color="000000" w:sz="12"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注：本表反映部门本年度的总收支和年末结转结余情况。</w:t>
            </w:r>
          </w:p>
        </w:tc>
      </w:tr>
    </w:tbl>
    <w:p>
      <w:pPr>
        <w:jc w:val="left"/>
        <w:rPr>
          <w:rFonts w:ascii="黑体" w:hAnsi="黑体" w:eastAsia="黑体" w:cs="黑体"/>
          <w:sz w:val="32"/>
          <w:szCs w:val="32"/>
        </w:rPr>
        <w:sectPr>
          <w:pgSz w:w="11906" w:h="16838"/>
          <w:pgMar w:top="1440" w:right="1531" w:bottom="1440" w:left="1587" w:header="850" w:footer="992" w:gutter="0"/>
          <w:pgNumType w:fmt="numberInDash"/>
          <w:cols w:space="0" w:num="1"/>
          <w:docGrid w:type="lines" w:linePitch="325" w:charSpace="0"/>
        </w:sectPr>
      </w:pPr>
    </w:p>
    <w:tbl>
      <w:tblPr>
        <w:tblStyle w:val="8"/>
        <w:tblW w:w="14022" w:type="dxa"/>
        <w:tblInd w:w="0" w:type="dxa"/>
        <w:tblLayout w:type="fixed"/>
        <w:tblCellMar>
          <w:top w:w="15" w:type="dxa"/>
          <w:left w:w="15" w:type="dxa"/>
          <w:bottom w:w="15" w:type="dxa"/>
          <w:right w:w="15" w:type="dxa"/>
        </w:tblCellMar>
      </w:tblPr>
      <w:tblGrid>
        <w:gridCol w:w="740"/>
        <w:gridCol w:w="740"/>
        <w:gridCol w:w="768"/>
        <w:gridCol w:w="3135"/>
        <w:gridCol w:w="1275"/>
        <w:gridCol w:w="1485"/>
        <w:gridCol w:w="1019"/>
        <w:gridCol w:w="1350"/>
        <w:gridCol w:w="1110"/>
        <w:gridCol w:w="840"/>
        <w:gridCol w:w="1560"/>
      </w:tblGrid>
      <w:tr>
        <w:tblPrEx>
          <w:tblLayout w:type="fixed"/>
          <w:tblCellMar>
            <w:top w:w="15" w:type="dxa"/>
            <w:left w:w="15" w:type="dxa"/>
            <w:bottom w:w="15" w:type="dxa"/>
            <w:right w:w="15" w:type="dxa"/>
          </w:tblCellMar>
        </w:tblPrEx>
        <w:trPr>
          <w:trHeight w:val="315" w:hRule="atLeast"/>
        </w:trPr>
        <w:tc>
          <w:tcPr>
            <w:tcW w:w="14022" w:type="dxa"/>
            <w:gridSpan w:val="11"/>
            <w:shd w:val="clear" w:color="auto" w:fill="auto"/>
            <w:vAlign w:val="bottom"/>
          </w:tcPr>
          <w:p>
            <w:pPr>
              <w:widowControl/>
              <w:jc w:val="center"/>
              <w:textAlignment w:val="bottom"/>
              <w:rPr>
                <w:rFonts w:ascii="宋体" w:hAnsi="宋体" w:cs="宋体"/>
                <w:color w:val="000000"/>
                <w:sz w:val="30"/>
                <w:szCs w:val="30"/>
              </w:rPr>
            </w:pPr>
            <w:r>
              <w:rPr>
                <w:rFonts w:hint="eastAsia" w:ascii="黑体" w:hAnsi="黑体" w:eastAsia="黑体" w:cs="黑体"/>
                <w:sz w:val="32"/>
                <w:szCs w:val="32"/>
              </w:rPr>
              <w:t>收入决算表</w:t>
            </w:r>
          </w:p>
        </w:tc>
      </w:tr>
      <w:tr>
        <w:tblPrEx>
          <w:tblLayout w:type="fixed"/>
          <w:tblCellMar>
            <w:top w:w="15" w:type="dxa"/>
            <w:left w:w="15" w:type="dxa"/>
            <w:bottom w:w="15" w:type="dxa"/>
            <w:right w:w="15" w:type="dxa"/>
          </w:tblCellMar>
        </w:tblPrEx>
        <w:trPr>
          <w:trHeight w:val="285" w:hRule="atLeast"/>
        </w:trPr>
        <w:tc>
          <w:tcPr>
            <w:tcW w:w="740" w:type="dxa"/>
            <w:shd w:val="clear" w:color="auto" w:fill="auto"/>
            <w:vAlign w:val="bottom"/>
          </w:tcPr>
          <w:p>
            <w:pPr>
              <w:rPr>
                <w:rFonts w:ascii="Arial" w:hAnsi="Arial" w:cs="Arial"/>
                <w:color w:val="000000"/>
                <w:sz w:val="20"/>
                <w:szCs w:val="20"/>
              </w:rPr>
            </w:pPr>
          </w:p>
        </w:tc>
        <w:tc>
          <w:tcPr>
            <w:tcW w:w="740" w:type="dxa"/>
            <w:shd w:val="clear" w:color="auto" w:fill="auto"/>
            <w:vAlign w:val="bottom"/>
          </w:tcPr>
          <w:p>
            <w:pPr>
              <w:rPr>
                <w:rFonts w:ascii="Arial" w:hAnsi="Arial" w:cs="Arial"/>
                <w:color w:val="000000"/>
                <w:sz w:val="20"/>
                <w:szCs w:val="20"/>
              </w:rPr>
            </w:pPr>
          </w:p>
        </w:tc>
        <w:tc>
          <w:tcPr>
            <w:tcW w:w="768" w:type="dxa"/>
            <w:shd w:val="clear" w:color="auto" w:fill="auto"/>
            <w:vAlign w:val="bottom"/>
          </w:tcPr>
          <w:p>
            <w:pPr>
              <w:rPr>
                <w:rFonts w:ascii="Arial" w:hAnsi="Arial" w:cs="Arial"/>
                <w:color w:val="000000"/>
                <w:sz w:val="20"/>
                <w:szCs w:val="20"/>
              </w:rPr>
            </w:pPr>
          </w:p>
        </w:tc>
        <w:tc>
          <w:tcPr>
            <w:tcW w:w="3135" w:type="dxa"/>
            <w:shd w:val="clear" w:color="auto" w:fill="auto"/>
            <w:vAlign w:val="bottom"/>
          </w:tcPr>
          <w:p>
            <w:pPr>
              <w:rPr>
                <w:rFonts w:ascii="Arial" w:hAnsi="Arial" w:cs="Arial"/>
                <w:color w:val="000000"/>
                <w:sz w:val="20"/>
                <w:szCs w:val="20"/>
              </w:rPr>
            </w:pPr>
          </w:p>
        </w:tc>
        <w:tc>
          <w:tcPr>
            <w:tcW w:w="1275" w:type="dxa"/>
            <w:shd w:val="clear" w:color="auto" w:fill="auto"/>
            <w:vAlign w:val="bottom"/>
          </w:tcPr>
          <w:p>
            <w:pPr>
              <w:rPr>
                <w:rFonts w:ascii="Arial" w:hAnsi="Arial" w:cs="Arial"/>
                <w:color w:val="000000"/>
                <w:sz w:val="20"/>
                <w:szCs w:val="20"/>
              </w:rPr>
            </w:pPr>
          </w:p>
        </w:tc>
        <w:tc>
          <w:tcPr>
            <w:tcW w:w="1485" w:type="dxa"/>
            <w:shd w:val="clear" w:color="auto" w:fill="auto"/>
            <w:vAlign w:val="bottom"/>
          </w:tcPr>
          <w:p>
            <w:pPr>
              <w:rPr>
                <w:rFonts w:ascii="Arial" w:hAnsi="Arial" w:cs="Arial"/>
                <w:color w:val="000000"/>
                <w:sz w:val="20"/>
                <w:szCs w:val="20"/>
              </w:rPr>
            </w:pPr>
          </w:p>
        </w:tc>
        <w:tc>
          <w:tcPr>
            <w:tcW w:w="1019" w:type="dxa"/>
            <w:shd w:val="clear" w:color="auto" w:fill="auto"/>
            <w:vAlign w:val="bottom"/>
          </w:tcPr>
          <w:p>
            <w:pPr>
              <w:rPr>
                <w:rFonts w:ascii="Arial" w:hAnsi="Arial" w:cs="Arial"/>
                <w:color w:val="000000"/>
                <w:sz w:val="20"/>
                <w:szCs w:val="20"/>
              </w:rPr>
            </w:pPr>
          </w:p>
        </w:tc>
        <w:tc>
          <w:tcPr>
            <w:tcW w:w="1350" w:type="dxa"/>
            <w:shd w:val="clear" w:color="auto" w:fill="auto"/>
            <w:vAlign w:val="bottom"/>
          </w:tcPr>
          <w:p>
            <w:pPr>
              <w:rPr>
                <w:rFonts w:ascii="Arial" w:hAnsi="Arial" w:cs="Arial"/>
                <w:color w:val="000000"/>
                <w:sz w:val="20"/>
                <w:szCs w:val="20"/>
              </w:rPr>
            </w:pPr>
          </w:p>
        </w:tc>
        <w:tc>
          <w:tcPr>
            <w:tcW w:w="1110" w:type="dxa"/>
            <w:shd w:val="clear" w:color="auto" w:fill="auto"/>
            <w:vAlign w:val="bottom"/>
          </w:tcPr>
          <w:p>
            <w:pPr>
              <w:rPr>
                <w:rFonts w:ascii="Arial" w:hAnsi="Arial" w:cs="Arial"/>
                <w:color w:val="000000"/>
                <w:sz w:val="20"/>
                <w:szCs w:val="20"/>
              </w:rPr>
            </w:pPr>
          </w:p>
        </w:tc>
        <w:tc>
          <w:tcPr>
            <w:tcW w:w="840" w:type="dxa"/>
            <w:shd w:val="clear" w:color="auto" w:fill="auto"/>
            <w:vAlign w:val="bottom"/>
          </w:tcPr>
          <w:p>
            <w:pPr>
              <w:rPr>
                <w:rFonts w:ascii="Arial" w:hAnsi="Arial" w:cs="Arial"/>
                <w:color w:val="000000"/>
                <w:sz w:val="20"/>
                <w:szCs w:val="20"/>
              </w:rPr>
            </w:pPr>
          </w:p>
        </w:tc>
        <w:tc>
          <w:tcPr>
            <w:tcW w:w="1560"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Layout w:type="fixed"/>
          <w:tblCellMar>
            <w:top w:w="15" w:type="dxa"/>
            <w:left w:w="15" w:type="dxa"/>
            <w:bottom w:w="15" w:type="dxa"/>
            <w:right w:w="15" w:type="dxa"/>
          </w:tblCellMar>
        </w:tblPrEx>
        <w:trPr>
          <w:trHeight w:val="285" w:hRule="atLeast"/>
        </w:trPr>
        <w:tc>
          <w:tcPr>
            <w:tcW w:w="6658" w:type="dxa"/>
            <w:gridSpan w:val="5"/>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部门：河南省开封文化艺术职业学院</w:t>
            </w:r>
          </w:p>
        </w:tc>
        <w:tc>
          <w:tcPr>
            <w:tcW w:w="1485" w:type="dxa"/>
            <w:shd w:val="clear" w:color="auto" w:fill="auto"/>
            <w:vAlign w:val="bottom"/>
          </w:tcPr>
          <w:p>
            <w:pPr>
              <w:rPr>
                <w:rFonts w:ascii="Arial" w:hAnsi="Arial" w:cs="Arial"/>
                <w:color w:val="000000"/>
                <w:sz w:val="20"/>
                <w:szCs w:val="20"/>
              </w:rPr>
            </w:pPr>
          </w:p>
        </w:tc>
        <w:tc>
          <w:tcPr>
            <w:tcW w:w="1019" w:type="dxa"/>
            <w:shd w:val="clear" w:color="auto" w:fill="auto"/>
            <w:vAlign w:val="bottom"/>
          </w:tcPr>
          <w:p>
            <w:pPr>
              <w:rPr>
                <w:rFonts w:ascii="Arial" w:hAnsi="Arial" w:cs="Arial"/>
                <w:color w:val="000000"/>
                <w:sz w:val="20"/>
                <w:szCs w:val="20"/>
              </w:rPr>
            </w:pPr>
          </w:p>
        </w:tc>
        <w:tc>
          <w:tcPr>
            <w:tcW w:w="1350" w:type="dxa"/>
            <w:shd w:val="clear" w:color="auto" w:fill="auto"/>
            <w:vAlign w:val="bottom"/>
          </w:tcPr>
          <w:p>
            <w:pPr>
              <w:rPr>
                <w:rFonts w:ascii="Arial" w:hAnsi="Arial" w:cs="Arial"/>
                <w:color w:val="000000"/>
                <w:sz w:val="20"/>
                <w:szCs w:val="20"/>
              </w:rPr>
            </w:pPr>
          </w:p>
        </w:tc>
        <w:tc>
          <w:tcPr>
            <w:tcW w:w="1110" w:type="dxa"/>
            <w:shd w:val="clear" w:color="auto" w:fill="auto"/>
            <w:vAlign w:val="bottom"/>
          </w:tcPr>
          <w:p>
            <w:pPr>
              <w:rPr>
                <w:rFonts w:ascii="Arial" w:hAnsi="Arial" w:cs="Arial"/>
                <w:color w:val="000000"/>
                <w:sz w:val="20"/>
                <w:szCs w:val="20"/>
              </w:rPr>
            </w:pPr>
          </w:p>
        </w:tc>
        <w:tc>
          <w:tcPr>
            <w:tcW w:w="840" w:type="dxa"/>
            <w:shd w:val="clear" w:color="auto" w:fill="auto"/>
            <w:vAlign w:val="bottom"/>
          </w:tcPr>
          <w:p>
            <w:pPr>
              <w:rPr>
                <w:rFonts w:ascii="Arial" w:hAnsi="Arial" w:cs="Arial"/>
                <w:color w:val="000000"/>
                <w:sz w:val="20"/>
                <w:szCs w:val="20"/>
              </w:rPr>
            </w:pPr>
          </w:p>
        </w:tc>
        <w:tc>
          <w:tcPr>
            <w:tcW w:w="1560"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00" w:hRule="atLeast"/>
        </w:trPr>
        <w:tc>
          <w:tcPr>
            <w:tcW w:w="5383"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27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48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1019"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135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111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84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56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Layout w:type="fixed"/>
          <w:tblCellMar>
            <w:top w:w="15" w:type="dxa"/>
            <w:left w:w="15" w:type="dxa"/>
            <w:bottom w:w="15" w:type="dxa"/>
            <w:right w:w="15" w:type="dxa"/>
          </w:tblCellMar>
        </w:tblPrEx>
        <w:trPr>
          <w:trHeight w:val="325" w:hRule="atLeast"/>
        </w:trPr>
        <w:tc>
          <w:tcPr>
            <w:tcW w:w="2248"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135"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1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25" w:hRule="atLeast"/>
        </w:trPr>
        <w:tc>
          <w:tcPr>
            <w:tcW w:w="2248"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1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19"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5383"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27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8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01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35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11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84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5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Layout w:type="fixed"/>
          <w:tblCellMar>
            <w:top w:w="15" w:type="dxa"/>
            <w:left w:w="15" w:type="dxa"/>
            <w:bottom w:w="15" w:type="dxa"/>
            <w:right w:w="15" w:type="dxa"/>
          </w:tblCellMar>
        </w:tblPrEx>
        <w:trPr>
          <w:trHeight w:val="463" w:hRule="atLeast"/>
        </w:trPr>
        <w:tc>
          <w:tcPr>
            <w:tcW w:w="5383"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15,542.50</w:t>
            </w:r>
          </w:p>
          <w:p>
            <w:pPr>
              <w:widowControl/>
              <w:jc w:val="right"/>
              <w:textAlignment w:val="center"/>
              <w:rPr>
                <w:rFonts w:ascii="宋体" w:hAnsi="宋体" w:cs="宋体"/>
                <w:color w:val="000000"/>
                <w:kern w:val="0"/>
                <w:sz w:val="22"/>
                <w:szCs w:val="22"/>
              </w:rPr>
            </w:pP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p>
            <w:pPr>
              <w:widowControl/>
              <w:jc w:val="right"/>
              <w:textAlignment w:val="center"/>
              <w:rPr>
                <w:rFonts w:ascii="宋体" w:hAnsi="宋体" w:cs="宋体"/>
                <w:color w:val="000000"/>
                <w:kern w:val="0"/>
                <w:sz w:val="22"/>
                <w:szCs w:val="22"/>
              </w:rPr>
            </w:pP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4,300.00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433.27</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国防支出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20306</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国防动员</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2030601</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兵役征集</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教育支出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13,747.11</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9,013.84</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4,300.00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433.27</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普通教育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2,394.61</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2,394.61</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2050203</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初中教育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6.69</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6.69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2050205</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高等教育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2,353.67</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2,353.67</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其他普通教育支出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34.24</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34.24</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职业教育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11,352.50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6,619.23</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4,300.00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433.27</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2050302</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中专教育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1,064.34</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1,064.34</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2050305</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高等职业教育</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10,288.16</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5,554.89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4,300.00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kern w:val="0"/>
                <w:sz w:val="22"/>
                <w:szCs w:val="22"/>
              </w:rPr>
            </w:pPr>
            <w:r>
              <w:rPr>
                <w:rFonts w:hint="eastAsia" w:ascii="宋体" w:hAnsi="宋体" w:cs="宋体"/>
                <w:color w:val="000000"/>
                <w:kern w:val="0"/>
                <w:sz w:val="22"/>
                <w:szCs w:val="22"/>
              </w:rPr>
              <w:t>433.27</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科学技术支出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20604</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技术研究与开发</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2060499</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其他技术研究与开发支出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749.51</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749.51</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241.69</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241.69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24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2210201</w:t>
            </w:r>
          </w:p>
        </w:tc>
        <w:tc>
          <w:tcPr>
            <w:tcW w:w="313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27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4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1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35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11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8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56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14022" w:type="dxa"/>
            <w:gridSpan w:val="11"/>
            <w:tcBorders>
              <w:left w:val="single" w:color="000000" w:sz="12"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3305" w:type="dxa"/>
        <w:tblInd w:w="0" w:type="dxa"/>
        <w:tblLayout w:type="fixed"/>
        <w:tblCellMar>
          <w:top w:w="15" w:type="dxa"/>
          <w:left w:w="15" w:type="dxa"/>
          <w:bottom w:w="15" w:type="dxa"/>
          <w:right w:w="15" w:type="dxa"/>
        </w:tblCellMar>
      </w:tblPr>
      <w:tblGrid>
        <w:gridCol w:w="721"/>
        <w:gridCol w:w="721"/>
        <w:gridCol w:w="746"/>
        <w:gridCol w:w="3495"/>
        <w:gridCol w:w="1590"/>
        <w:gridCol w:w="1022"/>
        <w:gridCol w:w="1185"/>
        <w:gridCol w:w="1080"/>
        <w:gridCol w:w="945"/>
        <w:gridCol w:w="1800"/>
      </w:tblGrid>
      <w:tr>
        <w:tblPrEx>
          <w:tblLayout w:type="fixed"/>
          <w:tblCellMar>
            <w:top w:w="15" w:type="dxa"/>
            <w:left w:w="15" w:type="dxa"/>
            <w:bottom w:w="15" w:type="dxa"/>
            <w:right w:w="15" w:type="dxa"/>
          </w:tblCellMar>
        </w:tblPrEx>
        <w:trPr>
          <w:trHeight w:val="435" w:hRule="atLeast"/>
        </w:trPr>
        <w:tc>
          <w:tcPr>
            <w:tcW w:w="13305" w:type="dxa"/>
            <w:gridSpan w:val="10"/>
            <w:shd w:val="clear" w:color="auto" w:fill="auto"/>
            <w:vAlign w:val="bottom"/>
          </w:tcPr>
          <w:p>
            <w:pPr>
              <w:jc w:val="center"/>
              <w:rPr>
                <w:rFonts w:ascii="宋体" w:hAnsi="宋体" w:cs="宋体"/>
                <w:color w:val="000000"/>
                <w:sz w:val="30"/>
                <w:szCs w:val="30"/>
              </w:rPr>
            </w:pPr>
            <w:r>
              <w:rPr>
                <w:rFonts w:hint="eastAsia" w:ascii="黑体" w:hAnsi="黑体" w:eastAsia="黑体" w:cs="黑体"/>
                <w:sz w:val="32"/>
                <w:szCs w:val="32"/>
              </w:rPr>
              <w:t>支出决算表</w:t>
            </w:r>
          </w:p>
        </w:tc>
      </w:tr>
      <w:tr>
        <w:tblPrEx>
          <w:tblLayout w:type="fixed"/>
          <w:tblCellMar>
            <w:top w:w="15" w:type="dxa"/>
            <w:left w:w="15" w:type="dxa"/>
            <w:bottom w:w="15" w:type="dxa"/>
            <w:right w:w="15" w:type="dxa"/>
          </w:tblCellMar>
        </w:tblPrEx>
        <w:trPr>
          <w:trHeight w:val="285" w:hRule="atLeast"/>
        </w:trPr>
        <w:tc>
          <w:tcPr>
            <w:tcW w:w="721" w:type="dxa"/>
            <w:shd w:val="clear" w:color="auto" w:fill="auto"/>
            <w:vAlign w:val="bottom"/>
          </w:tcPr>
          <w:p>
            <w:pPr>
              <w:rPr>
                <w:rFonts w:ascii="Arial" w:hAnsi="Arial" w:cs="Arial"/>
                <w:color w:val="000000"/>
                <w:sz w:val="20"/>
                <w:szCs w:val="20"/>
              </w:rPr>
            </w:pPr>
          </w:p>
        </w:tc>
        <w:tc>
          <w:tcPr>
            <w:tcW w:w="721" w:type="dxa"/>
            <w:shd w:val="clear" w:color="auto" w:fill="auto"/>
            <w:vAlign w:val="bottom"/>
          </w:tcPr>
          <w:p>
            <w:pPr>
              <w:rPr>
                <w:rFonts w:ascii="Arial" w:hAnsi="Arial" w:cs="Arial"/>
                <w:color w:val="000000"/>
                <w:sz w:val="20"/>
                <w:szCs w:val="20"/>
              </w:rPr>
            </w:pPr>
          </w:p>
        </w:tc>
        <w:tc>
          <w:tcPr>
            <w:tcW w:w="746" w:type="dxa"/>
            <w:shd w:val="clear" w:color="auto" w:fill="auto"/>
            <w:vAlign w:val="bottom"/>
          </w:tcPr>
          <w:p>
            <w:pPr>
              <w:rPr>
                <w:rFonts w:ascii="Arial" w:hAnsi="Arial" w:cs="Arial"/>
                <w:color w:val="000000"/>
                <w:sz w:val="20"/>
                <w:szCs w:val="20"/>
              </w:rPr>
            </w:pPr>
          </w:p>
        </w:tc>
        <w:tc>
          <w:tcPr>
            <w:tcW w:w="3495" w:type="dxa"/>
            <w:shd w:val="clear" w:color="auto" w:fill="auto"/>
            <w:vAlign w:val="bottom"/>
          </w:tcPr>
          <w:p>
            <w:pPr>
              <w:rPr>
                <w:rFonts w:ascii="Arial" w:hAnsi="Arial" w:cs="Arial"/>
                <w:color w:val="000000"/>
                <w:sz w:val="20"/>
                <w:szCs w:val="20"/>
              </w:rPr>
            </w:pPr>
          </w:p>
        </w:tc>
        <w:tc>
          <w:tcPr>
            <w:tcW w:w="1590" w:type="dxa"/>
            <w:shd w:val="clear" w:color="auto" w:fill="auto"/>
            <w:vAlign w:val="bottom"/>
          </w:tcPr>
          <w:p>
            <w:pPr>
              <w:rPr>
                <w:rFonts w:ascii="Arial" w:hAnsi="Arial" w:cs="Arial"/>
                <w:color w:val="000000"/>
                <w:sz w:val="20"/>
                <w:szCs w:val="20"/>
              </w:rPr>
            </w:pPr>
          </w:p>
        </w:tc>
        <w:tc>
          <w:tcPr>
            <w:tcW w:w="1022" w:type="dxa"/>
            <w:shd w:val="clear" w:color="auto" w:fill="auto"/>
            <w:vAlign w:val="bottom"/>
          </w:tcPr>
          <w:p>
            <w:pPr>
              <w:rPr>
                <w:rFonts w:ascii="Arial" w:hAnsi="Arial" w:cs="Arial"/>
                <w:color w:val="000000"/>
                <w:sz w:val="20"/>
                <w:szCs w:val="20"/>
              </w:rPr>
            </w:pPr>
          </w:p>
        </w:tc>
        <w:tc>
          <w:tcPr>
            <w:tcW w:w="1185" w:type="dxa"/>
            <w:shd w:val="clear" w:color="auto" w:fill="auto"/>
            <w:vAlign w:val="bottom"/>
          </w:tcPr>
          <w:p>
            <w:pPr>
              <w:rPr>
                <w:rFonts w:ascii="Arial" w:hAnsi="Arial" w:cs="Arial"/>
                <w:color w:val="000000"/>
                <w:sz w:val="20"/>
                <w:szCs w:val="20"/>
              </w:rPr>
            </w:pPr>
          </w:p>
        </w:tc>
        <w:tc>
          <w:tcPr>
            <w:tcW w:w="1080" w:type="dxa"/>
            <w:shd w:val="clear" w:color="auto" w:fill="auto"/>
            <w:vAlign w:val="bottom"/>
          </w:tcPr>
          <w:p>
            <w:pPr>
              <w:rPr>
                <w:rFonts w:ascii="Arial" w:hAnsi="Arial" w:cs="Arial"/>
                <w:color w:val="000000"/>
                <w:sz w:val="20"/>
                <w:szCs w:val="20"/>
              </w:rPr>
            </w:pPr>
          </w:p>
        </w:tc>
        <w:tc>
          <w:tcPr>
            <w:tcW w:w="945" w:type="dxa"/>
            <w:shd w:val="clear" w:color="auto" w:fill="auto"/>
            <w:vAlign w:val="bottom"/>
          </w:tcPr>
          <w:p>
            <w:pPr>
              <w:rPr>
                <w:rFonts w:ascii="Arial" w:hAnsi="Arial" w:cs="Arial"/>
                <w:color w:val="000000"/>
                <w:sz w:val="20"/>
                <w:szCs w:val="20"/>
              </w:rPr>
            </w:pPr>
          </w:p>
        </w:tc>
        <w:tc>
          <w:tcPr>
            <w:tcW w:w="1800"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Layout w:type="fixed"/>
          <w:tblCellMar>
            <w:top w:w="15" w:type="dxa"/>
            <w:left w:w="15" w:type="dxa"/>
            <w:bottom w:w="15" w:type="dxa"/>
            <w:right w:w="15" w:type="dxa"/>
          </w:tblCellMar>
        </w:tblPrEx>
        <w:trPr>
          <w:trHeight w:val="285" w:hRule="atLeast"/>
        </w:trPr>
        <w:tc>
          <w:tcPr>
            <w:tcW w:w="7273" w:type="dxa"/>
            <w:gridSpan w:val="5"/>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部门：河南省开封文化艺术职业学院</w:t>
            </w:r>
          </w:p>
        </w:tc>
        <w:tc>
          <w:tcPr>
            <w:tcW w:w="1022" w:type="dxa"/>
            <w:shd w:val="clear" w:color="auto" w:fill="auto"/>
            <w:vAlign w:val="bottom"/>
          </w:tcPr>
          <w:p>
            <w:pPr>
              <w:rPr>
                <w:rFonts w:ascii="Arial" w:hAnsi="Arial" w:cs="Arial"/>
                <w:color w:val="000000"/>
                <w:sz w:val="20"/>
                <w:szCs w:val="20"/>
              </w:rPr>
            </w:pPr>
          </w:p>
        </w:tc>
        <w:tc>
          <w:tcPr>
            <w:tcW w:w="1185" w:type="dxa"/>
            <w:shd w:val="clear" w:color="auto" w:fill="auto"/>
            <w:vAlign w:val="bottom"/>
          </w:tcPr>
          <w:p>
            <w:pPr>
              <w:rPr>
                <w:rFonts w:ascii="Arial" w:hAnsi="Arial" w:cs="Arial"/>
                <w:color w:val="000000"/>
                <w:sz w:val="20"/>
                <w:szCs w:val="20"/>
              </w:rPr>
            </w:pPr>
          </w:p>
        </w:tc>
        <w:tc>
          <w:tcPr>
            <w:tcW w:w="1080" w:type="dxa"/>
            <w:shd w:val="clear" w:color="auto" w:fill="auto"/>
            <w:vAlign w:val="bottom"/>
          </w:tcPr>
          <w:p>
            <w:pPr>
              <w:rPr>
                <w:rFonts w:ascii="Arial" w:hAnsi="Arial" w:cs="Arial"/>
                <w:color w:val="000000"/>
                <w:sz w:val="20"/>
                <w:szCs w:val="20"/>
              </w:rPr>
            </w:pPr>
          </w:p>
        </w:tc>
        <w:tc>
          <w:tcPr>
            <w:tcW w:w="945" w:type="dxa"/>
            <w:shd w:val="clear" w:color="auto" w:fill="auto"/>
            <w:vAlign w:val="bottom"/>
          </w:tcPr>
          <w:p>
            <w:pPr>
              <w:rPr>
                <w:rFonts w:ascii="Arial" w:hAnsi="Arial" w:cs="Arial"/>
                <w:color w:val="000000"/>
                <w:sz w:val="20"/>
                <w:szCs w:val="20"/>
              </w:rPr>
            </w:pPr>
          </w:p>
        </w:tc>
        <w:tc>
          <w:tcPr>
            <w:tcW w:w="1800"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00" w:hRule="atLeast"/>
        </w:trPr>
        <w:tc>
          <w:tcPr>
            <w:tcW w:w="5683"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59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022"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18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08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945"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80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Layout w:type="fixed"/>
          <w:tblCellMar>
            <w:top w:w="15" w:type="dxa"/>
            <w:left w:w="15" w:type="dxa"/>
            <w:bottom w:w="15" w:type="dxa"/>
            <w:right w:w="15" w:type="dxa"/>
          </w:tblCellMar>
        </w:tblPrEx>
        <w:trPr>
          <w:trHeight w:val="325" w:hRule="atLeast"/>
        </w:trPr>
        <w:tc>
          <w:tcPr>
            <w:tcW w:w="2188"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495"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2"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25" w:hRule="atLeast"/>
        </w:trPr>
        <w:tc>
          <w:tcPr>
            <w:tcW w:w="2188"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4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2"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1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4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5683"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59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022"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18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08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45"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80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15" w:type="dxa"/>
            <w:left w:w="15" w:type="dxa"/>
            <w:bottom w:w="15" w:type="dxa"/>
            <w:right w:w="15" w:type="dxa"/>
          </w:tblCellMar>
        </w:tblPrEx>
        <w:trPr>
          <w:trHeight w:val="300" w:hRule="atLeast"/>
        </w:trPr>
        <w:tc>
          <w:tcPr>
            <w:tcW w:w="5683"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15,377.95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15,377.95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国防支出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20306</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国防动员</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2030601</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兵役征集</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教育支出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13,582.56</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13,582.56</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普通教育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2,394.61</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2,394.61</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2050203</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初中教育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6.69</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6.69</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2050205</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高等教育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2,353.67</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2,353.67</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2050299</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其他普通教育支出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34.24</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34.24</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职业教育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11,187.96</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11,187.96</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2050302</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中专教育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1,064.34</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1,064.34</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2050305</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高等职业教育</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10,123.62</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10,123.62</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科学技术支出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20604</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技术研究与开发</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2060499</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其他技术研究与开发支出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社会保障和就业支出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行政事业单位离退休</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2080502</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事业单位离退休</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749.51</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749.51</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2080505</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机关事业单位基本养老保险缴费支出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241.69</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241.69</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医疗卫生与计划生育支出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21011</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行政事业单位医疗</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2101102</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事业单位医疗</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住房保障支出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22102</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住房改革支出</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188"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2210201</w:t>
            </w:r>
          </w:p>
        </w:tc>
        <w:tc>
          <w:tcPr>
            <w:tcW w:w="3495" w:type="dxa"/>
            <w:tcBorders>
              <w:top w:val="single" w:color="000000" w:sz="4" w:space="0"/>
              <w:bottom w:val="single" w:color="000000" w:sz="4" w:space="0"/>
              <w:right w:val="single" w:color="000000" w:sz="4" w:space="0"/>
            </w:tcBorders>
            <w:shd w:val="clear" w:color="auto" w:fill="auto"/>
            <w:vAlign w:val="center"/>
          </w:tcPr>
          <w:p>
            <w:pPr>
              <w:rPr>
                <w:rFonts w:ascii="宋体" w:hAnsi="宋体" w:cs="Arial"/>
                <w:color w:val="000000"/>
                <w:sz w:val="22"/>
                <w:szCs w:val="22"/>
              </w:rPr>
            </w:pPr>
            <w:r>
              <w:rPr>
                <w:rFonts w:hint="eastAsia" w:cs="Arial"/>
                <w:color w:val="000000"/>
                <w:sz w:val="22"/>
                <w:szCs w:val="22"/>
              </w:rPr>
              <w:t xml:space="preserve">  住房公积金</w:t>
            </w:r>
          </w:p>
        </w:tc>
        <w:tc>
          <w:tcPr>
            <w:tcW w:w="159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022"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18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08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945"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c>
          <w:tcPr>
            <w:tcW w:w="180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13305" w:type="dxa"/>
            <w:gridSpan w:val="10"/>
            <w:tcBorders>
              <w:left w:val="single" w:color="000000" w:sz="12"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注：本表反映部门本年度各项支出情况。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2852" w:type="dxa"/>
        <w:tblInd w:w="0" w:type="dxa"/>
        <w:tblLayout w:type="fixed"/>
        <w:tblCellMar>
          <w:top w:w="15" w:type="dxa"/>
          <w:left w:w="15" w:type="dxa"/>
          <w:bottom w:w="15" w:type="dxa"/>
          <w:right w:w="15" w:type="dxa"/>
        </w:tblCellMar>
      </w:tblPr>
      <w:tblGrid>
        <w:gridCol w:w="2684"/>
        <w:gridCol w:w="516"/>
        <w:gridCol w:w="2740"/>
        <w:gridCol w:w="2883"/>
        <w:gridCol w:w="516"/>
        <w:gridCol w:w="1027"/>
        <w:gridCol w:w="1207"/>
        <w:gridCol w:w="1279"/>
      </w:tblGrid>
      <w:tr>
        <w:tblPrEx>
          <w:tblLayout w:type="fixed"/>
          <w:tblCellMar>
            <w:top w:w="15" w:type="dxa"/>
            <w:left w:w="15" w:type="dxa"/>
            <w:bottom w:w="15" w:type="dxa"/>
            <w:right w:w="15" w:type="dxa"/>
          </w:tblCellMar>
        </w:tblPrEx>
        <w:trPr>
          <w:trHeight w:val="480" w:hRule="atLeast"/>
        </w:trPr>
        <w:tc>
          <w:tcPr>
            <w:tcW w:w="12852" w:type="dxa"/>
            <w:gridSpan w:val="8"/>
            <w:shd w:val="clear" w:color="auto" w:fill="auto"/>
            <w:vAlign w:val="bottom"/>
          </w:tcPr>
          <w:p>
            <w:pPr>
              <w:jc w:val="center"/>
              <w:rPr>
                <w:rFonts w:ascii="宋体" w:hAnsi="宋体" w:cs="宋体"/>
                <w:color w:val="000000"/>
                <w:sz w:val="30"/>
                <w:szCs w:val="30"/>
              </w:rPr>
            </w:pPr>
            <w:r>
              <w:rPr>
                <w:rFonts w:hint="eastAsia" w:ascii="黑体" w:hAnsi="黑体" w:eastAsia="黑体" w:cs="黑体"/>
                <w:sz w:val="32"/>
                <w:szCs w:val="32"/>
              </w:rPr>
              <w:t>财政拨款收入支出决算表</w:t>
            </w:r>
          </w:p>
        </w:tc>
      </w:tr>
      <w:tr>
        <w:tblPrEx>
          <w:tblLayout w:type="fixed"/>
          <w:tblCellMar>
            <w:top w:w="15" w:type="dxa"/>
            <w:left w:w="15" w:type="dxa"/>
            <w:bottom w:w="15" w:type="dxa"/>
            <w:right w:w="15" w:type="dxa"/>
          </w:tblCellMar>
        </w:tblPrEx>
        <w:trPr>
          <w:trHeight w:val="285" w:hRule="atLeast"/>
        </w:trPr>
        <w:tc>
          <w:tcPr>
            <w:tcW w:w="2684" w:type="dxa"/>
            <w:shd w:val="clear" w:color="auto" w:fill="auto"/>
            <w:vAlign w:val="bottom"/>
          </w:tcPr>
          <w:p>
            <w:pPr>
              <w:rPr>
                <w:rFonts w:ascii="Arial" w:hAnsi="Arial" w:cs="Arial"/>
                <w:color w:val="000000"/>
                <w:sz w:val="20"/>
                <w:szCs w:val="20"/>
              </w:rPr>
            </w:pPr>
          </w:p>
        </w:tc>
        <w:tc>
          <w:tcPr>
            <w:tcW w:w="516" w:type="dxa"/>
            <w:shd w:val="clear" w:color="auto" w:fill="auto"/>
            <w:vAlign w:val="bottom"/>
          </w:tcPr>
          <w:p>
            <w:pPr>
              <w:rPr>
                <w:rFonts w:ascii="Arial" w:hAnsi="Arial" w:cs="Arial"/>
                <w:color w:val="000000"/>
                <w:sz w:val="20"/>
                <w:szCs w:val="20"/>
              </w:rPr>
            </w:pPr>
          </w:p>
        </w:tc>
        <w:tc>
          <w:tcPr>
            <w:tcW w:w="2740" w:type="dxa"/>
            <w:shd w:val="clear" w:color="auto" w:fill="auto"/>
            <w:vAlign w:val="bottom"/>
          </w:tcPr>
          <w:p>
            <w:pPr>
              <w:rPr>
                <w:rFonts w:ascii="Arial" w:hAnsi="Arial" w:cs="Arial"/>
                <w:color w:val="000000"/>
                <w:sz w:val="20"/>
                <w:szCs w:val="20"/>
              </w:rPr>
            </w:pPr>
          </w:p>
        </w:tc>
        <w:tc>
          <w:tcPr>
            <w:tcW w:w="2883" w:type="dxa"/>
            <w:shd w:val="clear" w:color="auto" w:fill="auto"/>
            <w:vAlign w:val="bottom"/>
          </w:tcPr>
          <w:p>
            <w:pPr>
              <w:rPr>
                <w:rFonts w:ascii="Arial" w:hAnsi="Arial" w:cs="Arial"/>
                <w:color w:val="000000"/>
                <w:sz w:val="20"/>
                <w:szCs w:val="20"/>
              </w:rPr>
            </w:pPr>
          </w:p>
        </w:tc>
        <w:tc>
          <w:tcPr>
            <w:tcW w:w="516" w:type="dxa"/>
            <w:shd w:val="clear" w:color="auto" w:fill="auto"/>
            <w:vAlign w:val="bottom"/>
          </w:tcPr>
          <w:p>
            <w:pPr>
              <w:rPr>
                <w:rFonts w:ascii="Arial" w:hAnsi="Arial" w:cs="Arial"/>
                <w:color w:val="000000"/>
                <w:sz w:val="20"/>
                <w:szCs w:val="20"/>
              </w:rPr>
            </w:pPr>
          </w:p>
        </w:tc>
        <w:tc>
          <w:tcPr>
            <w:tcW w:w="1027" w:type="dxa"/>
            <w:shd w:val="clear" w:color="auto" w:fill="auto"/>
            <w:vAlign w:val="bottom"/>
          </w:tcPr>
          <w:p>
            <w:pPr>
              <w:rPr>
                <w:rFonts w:ascii="Arial" w:hAnsi="Arial" w:cs="Arial"/>
                <w:color w:val="000000"/>
                <w:sz w:val="20"/>
                <w:szCs w:val="20"/>
              </w:rPr>
            </w:pPr>
          </w:p>
        </w:tc>
        <w:tc>
          <w:tcPr>
            <w:tcW w:w="1207" w:type="dxa"/>
            <w:shd w:val="clear" w:color="auto" w:fill="auto"/>
            <w:vAlign w:val="bottom"/>
          </w:tcPr>
          <w:p>
            <w:pPr>
              <w:rPr>
                <w:rFonts w:ascii="Arial" w:hAnsi="Arial" w:cs="Arial"/>
                <w:color w:val="000000"/>
                <w:sz w:val="20"/>
                <w:szCs w:val="20"/>
              </w:rPr>
            </w:pPr>
          </w:p>
        </w:tc>
        <w:tc>
          <w:tcPr>
            <w:tcW w:w="1279"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blPrEx>
          <w:tblLayout w:type="fixed"/>
          <w:tblCellMar>
            <w:top w:w="15" w:type="dxa"/>
            <w:left w:w="15" w:type="dxa"/>
            <w:bottom w:w="15" w:type="dxa"/>
            <w:right w:w="15" w:type="dxa"/>
          </w:tblCellMar>
        </w:tblPrEx>
        <w:trPr>
          <w:trHeight w:val="285" w:hRule="atLeast"/>
        </w:trPr>
        <w:tc>
          <w:tcPr>
            <w:tcW w:w="5940" w:type="dxa"/>
            <w:gridSpan w:val="3"/>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部门：河南省开封文化艺术职业学院</w:t>
            </w:r>
          </w:p>
        </w:tc>
        <w:tc>
          <w:tcPr>
            <w:tcW w:w="2883" w:type="dxa"/>
            <w:shd w:val="clear" w:color="auto" w:fill="auto"/>
            <w:vAlign w:val="bottom"/>
          </w:tcPr>
          <w:p>
            <w:pPr>
              <w:rPr>
                <w:rFonts w:ascii="Arial" w:hAnsi="Arial" w:cs="Arial"/>
                <w:color w:val="000000"/>
                <w:sz w:val="20"/>
                <w:szCs w:val="20"/>
              </w:rPr>
            </w:pPr>
          </w:p>
        </w:tc>
        <w:tc>
          <w:tcPr>
            <w:tcW w:w="516" w:type="dxa"/>
            <w:shd w:val="clear" w:color="auto" w:fill="auto"/>
            <w:vAlign w:val="bottom"/>
          </w:tcPr>
          <w:p>
            <w:pPr>
              <w:rPr>
                <w:rFonts w:ascii="Arial" w:hAnsi="Arial" w:cs="Arial"/>
                <w:color w:val="000000"/>
                <w:sz w:val="20"/>
                <w:szCs w:val="20"/>
              </w:rPr>
            </w:pPr>
          </w:p>
        </w:tc>
        <w:tc>
          <w:tcPr>
            <w:tcW w:w="1027" w:type="dxa"/>
            <w:shd w:val="clear" w:color="auto" w:fill="auto"/>
            <w:vAlign w:val="bottom"/>
          </w:tcPr>
          <w:p>
            <w:pPr>
              <w:rPr>
                <w:rFonts w:ascii="Arial" w:hAnsi="Arial" w:cs="Arial"/>
                <w:color w:val="000000"/>
                <w:sz w:val="20"/>
                <w:szCs w:val="20"/>
              </w:rPr>
            </w:pPr>
          </w:p>
        </w:tc>
        <w:tc>
          <w:tcPr>
            <w:tcW w:w="1207" w:type="dxa"/>
            <w:shd w:val="clear" w:color="auto" w:fill="auto"/>
            <w:vAlign w:val="bottom"/>
          </w:tcPr>
          <w:p>
            <w:pPr>
              <w:rPr>
                <w:rFonts w:ascii="Arial" w:hAnsi="Arial" w:cs="Arial"/>
                <w:color w:val="000000"/>
                <w:sz w:val="20"/>
                <w:szCs w:val="20"/>
              </w:rPr>
            </w:pPr>
          </w:p>
        </w:tc>
        <w:tc>
          <w:tcPr>
            <w:tcW w:w="1279"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00" w:hRule="atLeast"/>
        </w:trPr>
        <w:tc>
          <w:tcPr>
            <w:tcW w:w="5940" w:type="dxa"/>
            <w:gridSpan w:val="3"/>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6912" w:type="dxa"/>
            <w:gridSpan w:val="5"/>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Layout w:type="fixed"/>
          <w:tblCellMar>
            <w:top w:w="15" w:type="dxa"/>
            <w:left w:w="15" w:type="dxa"/>
            <w:bottom w:w="15" w:type="dxa"/>
            <w:right w:w="15" w:type="dxa"/>
          </w:tblCellMar>
        </w:tblPrEx>
        <w:trPr>
          <w:trHeight w:val="325" w:hRule="atLeast"/>
        </w:trPr>
        <w:tc>
          <w:tcPr>
            <w:tcW w:w="2684"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16"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274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883"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16"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027"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07"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279"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r>
      <w:tr>
        <w:tblPrEx>
          <w:tblLayout w:type="fixed"/>
          <w:tblCellMar>
            <w:top w:w="15" w:type="dxa"/>
            <w:left w:w="15" w:type="dxa"/>
            <w:bottom w:w="15" w:type="dxa"/>
            <w:right w:w="15" w:type="dxa"/>
          </w:tblCellMar>
        </w:tblPrEx>
        <w:trPr>
          <w:trHeight w:val="615" w:hRule="atLeast"/>
        </w:trPr>
        <w:tc>
          <w:tcPr>
            <w:tcW w:w="2684"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1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74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883"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16"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0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7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16" w:type="dxa"/>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74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16" w:type="dxa"/>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027"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07"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79"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一、一般公共服务支出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二、外交支出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三、国防支出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0.75</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四、公共安全支出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五、教育支出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9,013.84</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9,013.84</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六、科学技术支出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七、文化体育与传媒支出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34</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八、社会保障和就业支出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35</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991.20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九、医疗卫生与计划生育支出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408.09</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51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十、节能环保支出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37</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45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十一、城乡社区支出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94"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十二、农林水支出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39</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416"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十三、交通运输支出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40</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十四、资源勘探信息支出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十五、商业服务业等支出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42</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十六、金融支出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43</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十七、援助其他地区支出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十八、国土海洋气象等支出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十九、住房保障支出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295.35</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二十、粮油物资储备支出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274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二十一、其他支出</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48</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本年收入合计</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本年支出合计</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年初财政拨款结转和结余</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年末财政拨款结转和结余</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883"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51</w:t>
            </w:r>
          </w:p>
        </w:tc>
        <w:tc>
          <w:tcPr>
            <w:tcW w:w="102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0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79"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c>
          <w:tcPr>
            <w:tcW w:w="2883"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52</w:t>
            </w:r>
          </w:p>
        </w:tc>
        <w:tc>
          <w:tcPr>
            <w:tcW w:w="102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0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79"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883" w:type="dxa"/>
            <w:tcBorders>
              <w:top w:val="single" w:color="000000" w:sz="4" w:space="0"/>
              <w:bottom w:val="single" w:color="000000" w:sz="4" w:space="0"/>
              <w:right w:val="single" w:color="000000" w:sz="4" w:space="0"/>
            </w:tcBorders>
            <w:shd w:val="clear" w:color="FFFFFF" w:fill="C0C0C0"/>
            <w:vAlign w:val="center"/>
          </w:tcPr>
          <w:p>
            <w:pPr>
              <w:jc w:val="left"/>
              <w:rPr>
                <w:rFonts w:ascii="宋体" w:hAnsi="宋体" w:cs="宋体"/>
                <w:color w:val="000000"/>
                <w:sz w:val="22"/>
                <w:szCs w:val="22"/>
              </w:rPr>
            </w:pP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53</w:t>
            </w:r>
          </w:p>
        </w:tc>
        <w:tc>
          <w:tcPr>
            <w:tcW w:w="102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07"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c>
          <w:tcPr>
            <w:tcW w:w="1279"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Arial"/>
                <w:color w:val="000000"/>
                <w:sz w:val="22"/>
                <w:szCs w:val="22"/>
              </w:rPr>
            </w:pPr>
            <w:r>
              <w:rPr>
                <w:rFonts w:hint="eastAsia" w:cs="Arial"/>
                <w:color w:val="000000"/>
                <w:sz w:val="22"/>
                <w:szCs w:val="22"/>
              </w:rPr>
              <w:t>　</w:t>
            </w:r>
          </w:p>
        </w:tc>
      </w:tr>
      <w:tr>
        <w:tblPrEx>
          <w:tblLayout w:type="fixed"/>
          <w:tblCellMar>
            <w:top w:w="15" w:type="dxa"/>
            <w:left w:w="15" w:type="dxa"/>
            <w:bottom w:w="15" w:type="dxa"/>
            <w:right w:w="15" w:type="dxa"/>
          </w:tblCellMar>
        </w:tblPrEx>
        <w:trPr>
          <w:trHeight w:val="300" w:hRule="atLeast"/>
        </w:trPr>
        <w:tc>
          <w:tcPr>
            <w:tcW w:w="2684"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2740"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2883"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总计</w:t>
            </w:r>
          </w:p>
        </w:tc>
        <w:tc>
          <w:tcPr>
            <w:tcW w:w="51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w:t>
            </w:r>
          </w:p>
        </w:tc>
        <w:tc>
          <w:tcPr>
            <w:tcW w:w="102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1207"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10,809.22</w:t>
            </w:r>
          </w:p>
        </w:tc>
        <w:tc>
          <w:tcPr>
            <w:tcW w:w="1279" w:type="dxa"/>
            <w:tcBorders>
              <w:top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22"/>
                <w:szCs w:val="22"/>
              </w:rPr>
              <w:t>0.00</w:t>
            </w:r>
          </w:p>
        </w:tc>
      </w:tr>
      <w:tr>
        <w:tblPrEx>
          <w:tblLayout w:type="fixed"/>
          <w:tblCellMar>
            <w:top w:w="15" w:type="dxa"/>
            <w:left w:w="15" w:type="dxa"/>
            <w:bottom w:w="15" w:type="dxa"/>
            <w:right w:w="15" w:type="dxa"/>
          </w:tblCellMar>
        </w:tblPrEx>
        <w:trPr>
          <w:trHeight w:val="300" w:hRule="atLeast"/>
        </w:trPr>
        <w:tc>
          <w:tcPr>
            <w:tcW w:w="12852" w:type="dxa"/>
            <w:gridSpan w:val="8"/>
            <w:tcBorders>
              <w:left w:val="single" w:color="000000" w:sz="12"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注：本表反映部门本年度一般公共预算财政拨款和政府性基金预算财政拨款的总收支和年末结转结余情况。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一般公共预算财政拨款支出决算表</w:t>
      </w:r>
    </w:p>
    <w:tbl>
      <w:tblPr>
        <w:tblStyle w:val="8"/>
        <w:tblW w:w="12915" w:type="dxa"/>
        <w:tblInd w:w="93" w:type="dxa"/>
        <w:tblLayout w:type="fixed"/>
        <w:tblCellMar>
          <w:top w:w="0" w:type="dxa"/>
          <w:left w:w="108" w:type="dxa"/>
          <w:bottom w:w="0" w:type="dxa"/>
          <w:right w:w="108" w:type="dxa"/>
        </w:tblCellMar>
      </w:tblPr>
      <w:tblGrid>
        <w:gridCol w:w="340"/>
        <w:gridCol w:w="340"/>
        <w:gridCol w:w="340"/>
        <w:gridCol w:w="3940"/>
        <w:gridCol w:w="1600"/>
        <w:gridCol w:w="1252"/>
        <w:gridCol w:w="128"/>
        <w:gridCol w:w="1856"/>
        <w:gridCol w:w="3119"/>
      </w:tblGrid>
      <w:tr>
        <w:tblPrEx>
          <w:tblLayout w:type="fixed"/>
          <w:tblCellMar>
            <w:top w:w="0" w:type="dxa"/>
            <w:left w:w="108" w:type="dxa"/>
            <w:bottom w:w="0" w:type="dxa"/>
            <w:right w:w="108" w:type="dxa"/>
          </w:tblCellMar>
        </w:tblPrEx>
        <w:trPr>
          <w:trHeight w:val="390"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00" w:type="dxa"/>
            <w:tcBorders>
              <w:top w:val="nil"/>
              <w:left w:val="nil"/>
              <w:bottom w:val="nil"/>
              <w:right w:val="nil"/>
            </w:tcBorders>
            <w:shd w:val="clear" w:color="auto" w:fill="auto"/>
            <w:noWrap/>
            <w:vAlign w:val="bottom"/>
          </w:tcPr>
          <w:p>
            <w:pPr>
              <w:widowControl/>
              <w:rPr>
                <w:rFonts w:ascii="宋体" w:hAnsi="宋体" w:cs="Arial"/>
                <w:color w:val="000000"/>
                <w:kern w:val="0"/>
                <w:sz w:val="30"/>
                <w:szCs w:val="30"/>
              </w:rPr>
            </w:pPr>
          </w:p>
        </w:tc>
        <w:tc>
          <w:tcPr>
            <w:tcW w:w="13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75"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55" w:hRule="atLeast"/>
        </w:trPr>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6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75"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公开05表</w:t>
            </w:r>
          </w:p>
        </w:tc>
      </w:tr>
      <w:tr>
        <w:tblPrEx>
          <w:tblLayout w:type="fixed"/>
          <w:tblCellMar>
            <w:top w:w="0" w:type="dxa"/>
            <w:left w:w="108" w:type="dxa"/>
            <w:bottom w:w="0" w:type="dxa"/>
            <w:right w:w="108" w:type="dxa"/>
          </w:tblCellMar>
        </w:tblPrEx>
        <w:trPr>
          <w:trHeight w:val="255" w:hRule="atLeast"/>
        </w:trPr>
        <w:tc>
          <w:tcPr>
            <w:tcW w:w="4960"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部门：河南省开封文化艺术职业学院（本级）</w:t>
            </w:r>
          </w:p>
        </w:tc>
        <w:tc>
          <w:tcPr>
            <w:tcW w:w="16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4975" w:type="dxa"/>
            <w:gridSpan w:val="2"/>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496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7955" w:type="dxa"/>
            <w:gridSpan w:val="5"/>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r>
      <w:tr>
        <w:tblPrEx>
          <w:tblLayout w:type="fixed"/>
          <w:tblCellMar>
            <w:top w:w="0" w:type="dxa"/>
            <w:left w:w="108" w:type="dxa"/>
            <w:bottom w:w="0" w:type="dxa"/>
            <w:right w:w="108" w:type="dxa"/>
          </w:tblCellMar>
        </w:tblPrEx>
        <w:trPr>
          <w:trHeight w:val="325" w:hRule="atLeast"/>
        </w:trPr>
        <w:tc>
          <w:tcPr>
            <w:tcW w:w="102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940" w:type="dxa"/>
            <w:vMerge w:val="restart"/>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852"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98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3119"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25"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5" w:hRule="atLeast"/>
        </w:trPr>
        <w:tc>
          <w:tcPr>
            <w:tcW w:w="1020"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852"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98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11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852"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984" w:type="dxa"/>
            <w:gridSpan w:val="2"/>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3119" w:type="dxa"/>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trPr>
        <w:tc>
          <w:tcPr>
            <w:tcW w:w="496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10,809.22</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10,809.22</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b/>
                <w:bCs/>
                <w:color w:val="000000"/>
                <w:kern w:val="0"/>
                <w:sz w:val="22"/>
                <w:szCs w:val="22"/>
              </w:rPr>
            </w:pPr>
            <w:r>
              <w:rPr>
                <w:rFonts w:hint="eastAsia" w:ascii="宋体" w:hAnsi="宋体" w:cs="Arial"/>
                <w:b/>
                <w:bCs/>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国防支出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20306</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国防动员</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2030601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兵役征集</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0.75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教育支出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9,013.84</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9,013.84</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普通教育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2,394.61</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2,394.61</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初中教育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高等教育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2,353.67</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2,353.67</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其他普通教育支出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34.24</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34.24</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20503</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职业教育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6,619.23</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6,619.23</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2050302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中专教育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1,064.34</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1,064.34</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2050305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高等职业教育</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5,554.89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5,554.89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科学技术支出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20604</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技术研究与开发</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2060499</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其他技术研究与开发支出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100.00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991.20</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991.20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行政事业单位离退休</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991.20</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991.20</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事业单位离退休</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749.51</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749.51</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241.69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241.69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医疗卫生与计划生育支出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事业单位医疗</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408.09</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02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3940" w:type="dxa"/>
            <w:tcBorders>
              <w:top w:val="nil"/>
              <w:left w:val="nil"/>
              <w:bottom w:val="single" w:color="000000" w:sz="4" w:space="0"/>
              <w:right w:val="single" w:color="000000" w:sz="4" w:space="0"/>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852"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1984"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3119"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12915" w:type="dxa"/>
            <w:gridSpan w:val="9"/>
            <w:tcBorders>
              <w:top w:val="nil"/>
              <w:left w:val="nil"/>
              <w:bottom w:val="nil"/>
              <w:right w:val="nil"/>
            </w:tcBorders>
            <w:shd w:val="clear" w:color="auto" w:fill="auto"/>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注：本表反映部门本年度一般公共预算财政拨款支出情况。</w:t>
            </w:r>
          </w:p>
        </w:tc>
      </w:tr>
    </w:tbl>
    <w:p>
      <w:pPr>
        <w:jc w:val="left"/>
        <w:rPr>
          <w:rFonts w:ascii="黑体" w:hAnsi="黑体" w:eastAsia="黑体" w:cs="黑体"/>
          <w:sz w:val="32"/>
          <w:szCs w:val="32"/>
        </w:rPr>
      </w:pPr>
    </w:p>
    <w:p>
      <w:pPr>
        <w:jc w:val="left"/>
        <w:rPr>
          <w:rFonts w:ascii="黑体" w:hAnsi="黑体" w:eastAsia="黑体" w:cs="黑体"/>
          <w:sz w:val="32"/>
          <w:szCs w:val="32"/>
        </w:rPr>
        <w:sectPr>
          <w:pgSz w:w="16838" w:h="11906" w:orient="landscape"/>
          <w:pgMar w:top="1587" w:right="1440" w:bottom="1531" w:left="1440" w:header="850" w:footer="992" w:gutter="0"/>
          <w:pgNumType w:fmt="numberInDash"/>
          <w:cols w:space="0" w:num="1"/>
          <w:docGrid w:type="lines" w:linePitch="325" w:charSpace="0"/>
        </w:sect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一般公共预算财政拨款基本支出决算表</w:t>
      </w:r>
    </w:p>
    <w:tbl>
      <w:tblPr>
        <w:tblStyle w:val="8"/>
        <w:tblW w:w="15735" w:type="dxa"/>
        <w:tblInd w:w="-601" w:type="dxa"/>
        <w:tblLayout w:type="fixed"/>
        <w:tblCellMar>
          <w:top w:w="0" w:type="dxa"/>
          <w:left w:w="108" w:type="dxa"/>
          <w:bottom w:w="0" w:type="dxa"/>
          <w:right w:w="108" w:type="dxa"/>
        </w:tblCellMar>
      </w:tblPr>
      <w:tblGrid>
        <w:gridCol w:w="993"/>
        <w:gridCol w:w="541"/>
        <w:gridCol w:w="3003"/>
        <w:gridCol w:w="327"/>
        <w:gridCol w:w="948"/>
        <w:gridCol w:w="993"/>
        <w:gridCol w:w="339"/>
        <w:gridCol w:w="2070"/>
        <w:gridCol w:w="310"/>
        <w:gridCol w:w="966"/>
        <w:gridCol w:w="214"/>
        <w:gridCol w:w="637"/>
        <w:gridCol w:w="203"/>
        <w:gridCol w:w="2065"/>
        <w:gridCol w:w="855"/>
        <w:gridCol w:w="1271"/>
      </w:tblGrid>
      <w:tr>
        <w:tblPrEx>
          <w:tblLayout w:type="fixed"/>
          <w:tblCellMar>
            <w:top w:w="0" w:type="dxa"/>
            <w:left w:w="108" w:type="dxa"/>
            <w:bottom w:w="0" w:type="dxa"/>
            <w:right w:w="108" w:type="dxa"/>
          </w:tblCellMar>
        </w:tblPrEx>
        <w:trPr>
          <w:trHeight w:val="255" w:hRule="atLeast"/>
        </w:trPr>
        <w:tc>
          <w:tcPr>
            <w:tcW w:w="1534"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333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3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4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92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公开06表</w:t>
            </w:r>
          </w:p>
        </w:tc>
      </w:tr>
      <w:tr>
        <w:tblPrEx>
          <w:tblLayout w:type="fixed"/>
          <w:tblCellMar>
            <w:top w:w="0" w:type="dxa"/>
            <w:left w:w="108" w:type="dxa"/>
            <w:bottom w:w="0" w:type="dxa"/>
            <w:right w:w="108" w:type="dxa"/>
          </w:tblCellMar>
        </w:tblPrEx>
        <w:trPr>
          <w:trHeight w:val="255" w:hRule="atLeast"/>
        </w:trPr>
        <w:tc>
          <w:tcPr>
            <w:tcW w:w="4864"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部门：河南省开封文化艺术职业学院（本级）</w:t>
            </w:r>
          </w:p>
        </w:tc>
        <w:tc>
          <w:tcPr>
            <w:tcW w:w="948"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332"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3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8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4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2920" w:type="dxa"/>
            <w:gridSpan w:val="2"/>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271"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5812" w:type="dxa"/>
            <w:gridSpan w:val="5"/>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w:t>
            </w:r>
          </w:p>
        </w:tc>
        <w:tc>
          <w:tcPr>
            <w:tcW w:w="9923" w:type="dxa"/>
            <w:gridSpan w:val="11"/>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25" w:hRule="atLeast"/>
        </w:trPr>
        <w:tc>
          <w:tcPr>
            <w:tcW w:w="993"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354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75"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993"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409"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27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c>
          <w:tcPr>
            <w:tcW w:w="851"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经济分类科目编码</w:t>
            </w:r>
          </w:p>
        </w:tc>
        <w:tc>
          <w:tcPr>
            <w:tcW w:w="2268"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26"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615" w:hRule="atLeast"/>
        </w:trPr>
        <w:tc>
          <w:tcPr>
            <w:tcW w:w="99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3544"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5"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93"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09"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7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51"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268"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26" w:type="dxa"/>
            <w:gridSpan w:val="2"/>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工资福利支出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5,497.27</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商品和服务支出</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2,196.72</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其他资本性支出</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852.19</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30101</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基本工资</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2,029.28</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30201</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1,298.05</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31001</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房屋建筑物购建</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30102</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津贴补贴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843.81</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30202</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印刷费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13.91</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31002</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办公设备购置</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41.60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30103</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奖金</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241.60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30203</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咨询费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31003</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专用设备购置</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810.59</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30104</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其他社会保障缴费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444.20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30204</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手续费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2.56</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31005</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基础设施建设</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30106</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伙食补助费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30205</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水费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153.34</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31006</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大型修缮</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30107</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绩效工资</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1,441.27</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30206</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电费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166.92</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31007</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信息网络及软件购置更新</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30108</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241.69</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30207</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邮电费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65.87</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31008</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物资储备</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30109</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职业年金缴费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255.41</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30208</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取暖费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31009</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土地补偿</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30199</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其他工资福利支出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30209</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物业管理费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31010</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安置补助</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对个人和家庭的补助</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1,735.04</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30211</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差旅费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180.40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31011</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地上附着物和青苗补偿</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30301</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离休费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126.00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30212</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因公出国（境）费用</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31012</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拆迁补偿</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30302</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退休费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623.51</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30213</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维修(护)费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174.49</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31013</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公务用车购置</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30303</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退职（役）费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30214</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租赁费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27.83</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31019</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其他交通工具购置</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30304</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抚恤金</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118.37</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30215</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会议费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1.68</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31020</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产权参股</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30305</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生活补助</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11.43</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30216</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培训费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52.22</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31099</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其他资本性支出</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30306</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救济费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30217</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公务接待费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对企事业单位的补贴</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3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30307</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医疗费</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30218</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专用材料费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5.95</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30401</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企业政策性补贴</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30308</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助学金</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469.78</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30224</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被装购置费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30402</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事业单位补贴</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30309</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奖励金</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30225</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专用燃料费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30403</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财政贴息</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30310</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生产补贴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30226</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劳务费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1.04</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30499</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其他对企事业单位的补贴</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30311</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295.35</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30227</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委托业务费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债务利息支出</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528.00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30312</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提租补贴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30228</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工会经费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30701</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国内债务付息</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528.00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30313</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30229</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福利费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30707</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国外债务付息</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30314</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采暖补贴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90.60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30231</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公务用车运行维护费</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50.05</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其他支出</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30315</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物业服务补贴</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30239</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其他交通费用</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39906</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赠与</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30399</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其他对个人和家庭的补助支出</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30240</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税金及附加费用</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993"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44"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93" w:type="dxa"/>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30299</w:t>
            </w:r>
          </w:p>
        </w:tc>
        <w:tc>
          <w:tcPr>
            <w:tcW w:w="2409"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  其他商品和服务支出</w:t>
            </w:r>
          </w:p>
        </w:tc>
        <w:tc>
          <w:tcPr>
            <w:tcW w:w="127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851"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268" w:type="dxa"/>
            <w:gridSpan w:val="2"/>
            <w:tcBorders>
              <w:top w:val="nil"/>
              <w:left w:val="nil"/>
              <w:bottom w:val="single" w:color="000000" w:sz="4" w:space="0"/>
              <w:right w:val="single" w:color="000000" w:sz="4" w:space="0"/>
            </w:tcBorders>
            <w:shd w:val="clear" w:color="FFFFFF" w:fill="C0C0C0"/>
            <w:noWrap/>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4537"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人员经费合计</w:t>
            </w:r>
          </w:p>
        </w:tc>
        <w:tc>
          <w:tcPr>
            <w:tcW w:w="1275"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7,232.31</w:t>
            </w:r>
          </w:p>
        </w:tc>
        <w:tc>
          <w:tcPr>
            <w:tcW w:w="7797" w:type="dxa"/>
            <w:gridSpan w:val="9"/>
            <w:tcBorders>
              <w:top w:val="nil"/>
              <w:left w:val="nil"/>
              <w:bottom w:val="single" w:color="000000" w:sz="4" w:space="0"/>
              <w:right w:val="single" w:color="000000" w:sz="4" w:space="0"/>
            </w:tcBorders>
            <w:shd w:val="clear" w:color="FFFFFF" w:fill="C0C0C0"/>
            <w:noWrap/>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公用经费合计</w:t>
            </w:r>
          </w:p>
        </w:tc>
        <w:tc>
          <w:tcPr>
            <w:tcW w:w="2126" w:type="dxa"/>
            <w:gridSpan w:val="2"/>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3,576.92</w:t>
            </w:r>
          </w:p>
        </w:tc>
      </w:tr>
      <w:tr>
        <w:tblPrEx>
          <w:tblLayout w:type="fixed"/>
          <w:tblCellMar>
            <w:top w:w="0" w:type="dxa"/>
            <w:left w:w="108" w:type="dxa"/>
            <w:bottom w:w="0" w:type="dxa"/>
            <w:right w:w="108" w:type="dxa"/>
          </w:tblCellMar>
        </w:tblPrEx>
        <w:trPr>
          <w:trHeight w:val="308" w:hRule="atLeast"/>
        </w:trPr>
        <w:tc>
          <w:tcPr>
            <w:tcW w:w="15735" w:type="dxa"/>
            <w:gridSpan w:val="16"/>
            <w:tcBorders>
              <w:top w:val="nil"/>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注：本表反映部门本年度一般公共预算财政拨款基本支出明细情况。</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一般公共预算财政拨款“三公”经费支出决算表</w:t>
      </w:r>
    </w:p>
    <w:p>
      <w:pPr>
        <w:jc w:val="left"/>
        <w:rPr>
          <w:rFonts w:ascii="黑体" w:hAnsi="黑体" w:eastAsia="黑体" w:cs="黑体"/>
          <w:sz w:val="32"/>
          <w:szCs w:val="32"/>
        </w:rPr>
      </w:pPr>
    </w:p>
    <w:tbl>
      <w:tblPr>
        <w:tblStyle w:val="8"/>
        <w:tblW w:w="14474" w:type="dxa"/>
        <w:tblInd w:w="93" w:type="dxa"/>
        <w:tblLayout w:type="fixed"/>
        <w:tblCellMar>
          <w:top w:w="0" w:type="dxa"/>
          <w:left w:w="108" w:type="dxa"/>
          <w:bottom w:w="0" w:type="dxa"/>
          <w:right w:w="108" w:type="dxa"/>
        </w:tblCellMar>
      </w:tblPr>
      <w:tblGrid>
        <w:gridCol w:w="1000"/>
        <w:gridCol w:w="876"/>
        <w:gridCol w:w="1420"/>
        <w:gridCol w:w="1160"/>
        <w:gridCol w:w="1420"/>
        <w:gridCol w:w="940"/>
        <w:gridCol w:w="1420"/>
        <w:gridCol w:w="876"/>
        <w:gridCol w:w="1420"/>
        <w:gridCol w:w="940"/>
        <w:gridCol w:w="1420"/>
        <w:gridCol w:w="1582"/>
      </w:tblGrid>
      <w:tr>
        <w:tblPrEx>
          <w:tblLayout w:type="fixed"/>
          <w:tblCellMar>
            <w:top w:w="0" w:type="dxa"/>
            <w:left w:w="108" w:type="dxa"/>
            <w:bottom w:w="0" w:type="dxa"/>
            <w:right w:w="108" w:type="dxa"/>
          </w:tblCellMar>
        </w:tblPrEx>
        <w:trPr>
          <w:trHeight w:val="255" w:hRule="atLeast"/>
        </w:trPr>
        <w:tc>
          <w:tcPr>
            <w:tcW w:w="100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16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82"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公开07表</w:t>
            </w:r>
          </w:p>
        </w:tc>
      </w:tr>
      <w:tr>
        <w:tblPrEx>
          <w:tblLayout w:type="fixed"/>
          <w:tblCellMar>
            <w:top w:w="0" w:type="dxa"/>
            <w:left w:w="108" w:type="dxa"/>
            <w:bottom w:w="0" w:type="dxa"/>
            <w:right w:w="108" w:type="dxa"/>
          </w:tblCellMar>
        </w:tblPrEx>
        <w:trPr>
          <w:trHeight w:val="255" w:hRule="atLeast"/>
        </w:trPr>
        <w:tc>
          <w:tcPr>
            <w:tcW w:w="4456" w:type="dxa"/>
            <w:gridSpan w:val="4"/>
            <w:tcBorders>
              <w:top w:val="nil"/>
              <w:left w:val="nil"/>
              <w:bottom w:val="nil"/>
              <w:right w:val="nil"/>
            </w:tcBorders>
            <w:shd w:val="clear" w:color="auto" w:fill="auto"/>
            <w:noWrap/>
            <w:vAlign w:val="bottom"/>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部门：河南省开封文化艺术职业学院（本级）</w:t>
            </w: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876"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94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420" w:type="dxa"/>
            <w:tcBorders>
              <w:top w:val="nil"/>
              <w:left w:val="nil"/>
              <w:bottom w:val="nil"/>
              <w:right w:val="nil"/>
            </w:tcBorders>
            <w:shd w:val="clear" w:color="auto" w:fill="auto"/>
            <w:noWrap/>
            <w:vAlign w:val="bottom"/>
          </w:tcPr>
          <w:p>
            <w:pPr>
              <w:widowControl/>
              <w:jc w:val="left"/>
              <w:rPr>
                <w:rFonts w:ascii="Arial" w:hAnsi="Arial" w:cs="Arial"/>
                <w:color w:val="000000"/>
                <w:kern w:val="0"/>
                <w:sz w:val="20"/>
                <w:szCs w:val="20"/>
              </w:rPr>
            </w:pPr>
          </w:p>
        </w:tc>
        <w:tc>
          <w:tcPr>
            <w:tcW w:w="1582" w:type="dxa"/>
            <w:tcBorders>
              <w:top w:val="nil"/>
              <w:left w:val="nil"/>
              <w:bottom w:val="nil"/>
              <w:right w:val="nil"/>
            </w:tcBorders>
            <w:shd w:val="clear" w:color="auto" w:fill="auto"/>
            <w:noWrap/>
            <w:vAlign w:val="bottom"/>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金额单位：万元</w:t>
            </w:r>
          </w:p>
        </w:tc>
      </w:tr>
      <w:tr>
        <w:tblPrEx>
          <w:tblLayout w:type="fixed"/>
          <w:tblCellMar>
            <w:top w:w="0" w:type="dxa"/>
            <w:left w:w="108" w:type="dxa"/>
            <w:bottom w:w="0" w:type="dxa"/>
            <w:right w:w="108" w:type="dxa"/>
          </w:tblCellMar>
        </w:tblPrEx>
        <w:trPr>
          <w:trHeight w:val="308" w:hRule="atLeast"/>
        </w:trPr>
        <w:tc>
          <w:tcPr>
            <w:tcW w:w="6816"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预算数</w:t>
            </w:r>
          </w:p>
        </w:tc>
        <w:tc>
          <w:tcPr>
            <w:tcW w:w="7658" w:type="dxa"/>
            <w:gridSpan w:val="6"/>
            <w:tcBorders>
              <w:top w:val="single" w:color="000000" w:sz="4" w:space="0"/>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决算数</w:t>
            </w:r>
          </w:p>
        </w:tc>
      </w:tr>
      <w:tr>
        <w:tblPrEx>
          <w:tblLayout w:type="fixed"/>
          <w:tblCellMar>
            <w:top w:w="0" w:type="dxa"/>
            <w:left w:w="108" w:type="dxa"/>
            <w:bottom w:w="0" w:type="dxa"/>
            <w:right w:w="108" w:type="dxa"/>
          </w:tblCellMar>
        </w:tblPrEx>
        <w:trPr>
          <w:trHeight w:val="308" w:hRule="atLeast"/>
        </w:trPr>
        <w:tc>
          <w:tcPr>
            <w:tcW w:w="1000"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00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94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1420"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876"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3780" w:type="dxa"/>
            <w:gridSpan w:val="3"/>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582" w:type="dxa"/>
            <w:vMerge w:val="restart"/>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615" w:hRule="atLeast"/>
        </w:trPr>
        <w:tc>
          <w:tcPr>
            <w:tcW w:w="10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1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94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9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582"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000"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6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9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876"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9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42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582"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308" w:hRule="atLeast"/>
        </w:trPr>
        <w:tc>
          <w:tcPr>
            <w:tcW w:w="1000"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60.00</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60.00</w:t>
            </w:r>
          </w:p>
        </w:tc>
        <w:tc>
          <w:tcPr>
            <w:tcW w:w="116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60.00</w:t>
            </w:r>
          </w:p>
        </w:tc>
        <w:tc>
          <w:tcPr>
            <w:tcW w:w="9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65.28</w:t>
            </w:r>
          </w:p>
        </w:tc>
        <w:tc>
          <w:tcPr>
            <w:tcW w:w="876"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50.05</w:t>
            </w:r>
          </w:p>
        </w:tc>
        <w:tc>
          <w:tcPr>
            <w:tcW w:w="94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0.00</w:t>
            </w:r>
          </w:p>
        </w:tc>
        <w:tc>
          <w:tcPr>
            <w:tcW w:w="1420"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50.05</w:t>
            </w:r>
          </w:p>
        </w:tc>
        <w:tc>
          <w:tcPr>
            <w:tcW w:w="1582" w:type="dxa"/>
            <w:tcBorders>
              <w:top w:val="nil"/>
              <w:left w:val="nil"/>
              <w:bottom w:val="single" w:color="000000" w:sz="4" w:space="0"/>
              <w:right w:val="single" w:color="000000" w:sz="4" w:space="0"/>
            </w:tcBorders>
            <w:shd w:val="clear" w:color="auto" w:fill="auto"/>
            <w:noWrap/>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15.23</w:t>
            </w:r>
          </w:p>
        </w:tc>
      </w:tr>
      <w:tr>
        <w:tblPrEx>
          <w:tblLayout w:type="fixed"/>
          <w:tblCellMar>
            <w:top w:w="0" w:type="dxa"/>
            <w:left w:w="108" w:type="dxa"/>
            <w:bottom w:w="0" w:type="dxa"/>
            <w:right w:w="108" w:type="dxa"/>
          </w:tblCellMar>
        </w:tblPrEx>
        <w:trPr>
          <w:trHeight w:val="615" w:hRule="atLeast"/>
        </w:trPr>
        <w:tc>
          <w:tcPr>
            <w:tcW w:w="14474" w:type="dxa"/>
            <w:gridSpan w:val="12"/>
            <w:tcBorders>
              <w:top w:val="nil"/>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b/>
                <w:color w:val="000000"/>
                <w:kern w:val="0"/>
                <w:sz w:val="22"/>
                <w:szCs w:val="22"/>
              </w:rPr>
              <w:t>注</w:t>
            </w:r>
            <w:r>
              <w:rPr>
                <w:rFonts w:hint="eastAsia" w:ascii="宋体" w:hAnsi="宋体" w:cs="Arial"/>
                <w:color w:val="000000"/>
                <w:kern w:val="0"/>
                <w:sz w:val="22"/>
                <w:szCs w:val="22"/>
              </w:rPr>
              <w:t>：1.本表反映部门本年度“三公”经费支出预决算情况。其中：预算数为“三公”经费年初预算数，决算数是包括当年一般公共预算财政拨款和以前年度结转资金安排的实际支出。</w:t>
            </w:r>
          </w:p>
          <w:p>
            <w:pPr>
              <w:widowControl/>
              <w:ind w:firstLine="442" w:firstLineChars="200"/>
              <w:jc w:val="left"/>
              <w:rPr>
                <w:rFonts w:ascii="宋体" w:hAnsi="宋体" w:cs="Arial"/>
                <w:color w:val="000000"/>
                <w:kern w:val="0"/>
                <w:sz w:val="22"/>
                <w:szCs w:val="22"/>
              </w:rPr>
            </w:pPr>
            <w:r>
              <w:rPr>
                <w:rFonts w:hint="eastAsia" w:ascii="宋体" w:hAnsi="宋体" w:cs="Arial"/>
                <w:b/>
                <w:color w:val="000000"/>
                <w:kern w:val="0"/>
                <w:sz w:val="22"/>
                <w:szCs w:val="22"/>
              </w:rPr>
              <w:t>2.公务接待费支出15.23万元为非一般公共预算财政拨款（非一般公共预算财政拨款公务接待费预算数40万元）</w:t>
            </w:r>
            <w:r>
              <w:rPr>
                <w:rFonts w:hint="eastAsia" w:ascii="宋体" w:hAnsi="宋体" w:cs="Arial"/>
                <w:color w:val="000000"/>
                <w:kern w:val="0"/>
                <w:sz w:val="22"/>
                <w:szCs w:val="22"/>
              </w:rPr>
              <w:t>。</w:t>
            </w:r>
          </w:p>
        </w:tc>
      </w:tr>
    </w:tbl>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tbl>
      <w:tblPr>
        <w:tblStyle w:val="8"/>
        <w:tblW w:w="13056" w:type="dxa"/>
        <w:tblInd w:w="0" w:type="dxa"/>
        <w:tblLayout w:type="fixed"/>
        <w:tblCellMar>
          <w:top w:w="15" w:type="dxa"/>
          <w:left w:w="15" w:type="dxa"/>
          <w:bottom w:w="15" w:type="dxa"/>
          <w:right w:w="15" w:type="dxa"/>
        </w:tblCellMar>
      </w:tblPr>
      <w:tblGrid>
        <w:gridCol w:w="750"/>
        <w:gridCol w:w="750"/>
        <w:gridCol w:w="750"/>
        <w:gridCol w:w="3930"/>
        <w:gridCol w:w="1680"/>
        <w:gridCol w:w="960"/>
        <w:gridCol w:w="960"/>
        <w:gridCol w:w="960"/>
        <w:gridCol w:w="960"/>
        <w:gridCol w:w="1356"/>
      </w:tblGrid>
      <w:tr>
        <w:tblPrEx>
          <w:tblLayout w:type="fixed"/>
          <w:tblCellMar>
            <w:top w:w="15" w:type="dxa"/>
            <w:left w:w="15" w:type="dxa"/>
            <w:bottom w:w="15" w:type="dxa"/>
            <w:right w:w="15" w:type="dxa"/>
          </w:tblCellMar>
        </w:tblPrEx>
        <w:trPr>
          <w:trHeight w:val="390" w:hRule="atLeast"/>
        </w:trPr>
        <w:tc>
          <w:tcPr>
            <w:tcW w:w="13056" w:type="dxa"/>
            <w:gridSpan w:val="10"/>
            <w:shd w:val="clear" w:color="auto" w:fill="auto"/>
            <w:vAlign w:val="bottom"/>
          </w:tcPr>
          <w:p>
            <w:pPr>
              <w:jc w:val="center"/>
              <w:rPr>
                <w:rFonts w:ascii="宋体" w:hAnsi="宋体" w:cs="宋体"/>
                <w:color w:val="000000"/>
                <w:sz w:val="30"/>
                <w:szCs w:val="30"/>
              </w:rPr>
            </w:pPr>
            <w:r>
              <w:rPr>
                <w:rFonts w:hint="eastAsia" w:ascii="黑体" w:hAnsi="黑体" w:eastAsia="黑体" w:cs="黑体"/>
                <w:sz w:val="32"/>
                <w:szCs w:val="32"/>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750" w:type="dxa"/>
            <w:shd w:val="clear" w:color="auto" w:fill="auto"/>
            <w:vAlign w:val="bottom"/>
          </w:tcPr>
          <w:p>
            <w:pPr>
              <w:rPr>
                <w:rFonts w:ascii="Arial" w:hAnsi="Arial" w:cs="Arial"/>
                <w:color w:val="000000"/>
                <w:sz w:val="20"/>
                <w:szCs w:val="20"/>
              </w:rPr>
            </w:pPr>
          </w:p>
        </w:tc>
        <w:tc>
          <w:tcPr>
            <w:tcW w:w="750" w:type="dxa"/>
            <w:shd w:val="clear" w:color="auto" w:fill="auto"/>
            <w:vAlign w:val="bottom"/>
          </w:tcPr>
          <w:p>
            <w:pPr>
              <w:rPr>
                <w:rFonts w:ascii="Arial" w:hAnsi="Arial" w:cs="Arial"/>
                <w:color w:val="000000"/>
                <w:sz w:val="20"/>
                <w:szCs w:val="20"/>
              </w:rPr>
            </w:pPr>
          </w:p>
        </w:tc>
        <w:tc>
          <w:tcPr>
            <w:tcW w:w="750" w:type="dxa"/>
            <w:shd w:val="clear" w:color="auto" w:fill="auto"/>
            <w:vAlign w:val="bottom"/>
          </w:tcPr>
          <w:p>
            <w:pPr>
              <w:rPr>
                <w:rFonts w:ascii="Arial" w:hAnsi="Arial" w:cs="Arial"/>
                <w:color w:val="000000"/>
                <w:sz w:val="20"/>
                <w:szCs w:val="20"/>
              </w:rPr>
            </w:pPr>
          </w:p>
        </w:tc>
        <w:tc>
          <w:tcPr>
            <w:tcW w:w="3930" w:type="dxa"/>
            <w:shd w:val="clear" w:color="auto" w:fill="auto"/>
            <w:vAlign w:val="bottom"/>
          </w:tcPr>
          <w:p>
            <w:pPr>
              <w:rPr>
                <w:rFonts w:ascii="Arial" w:hAnsi="Arial" w:cs="Arial"/>
                <w:color w:val="000000"/>
                <w:sz w:val="20"/>
                <w:szCs w:val="20"/>
              </w:rPr>
            </w:pPr>
          </w:p>
        </w:tc>
        <w:tc>
          <w:tcPr>
            <w:tcW w:w="168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1356"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Layout w:type="fixed"/>
          <w:tblCellMar>
            <w:top w:w="15" w:type="dxa"/>
            <w:left w:w="15" w:type="dxa"/>
            <w:bottom w:w="15" w:type="dxa"/>
            <w:right w:w="15" w:type="dxa"/>
          </w:tblCellMar>
        </w:tblPrEx>
        <w:trPr>
          <w:trHeight w:val="285" w:hRule="atLeast"/>
        </w:trPr>
        <w:tc>
          <w:tcPr>
            <w:tcW w:w="7860" w:type="dxa"/>
            <w:gridSpan w:val="5"/>
            <w:shd w:val="clear" w:color="auto" w:fill="auto"/>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部门：河南省开封文化艺术职业学院</w:t>
            </w: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960" w:type="dxa"/>
            <w:shd w:val="clear" w:color="auto" w:fill="auto"/>
            <w:vAlign w:val="bottom"/>
          </w:tcPr>
          <w:p>
            <w:pPr>
              <w:rPr>
                <w:rFonts w:ascii="Arial" w:hAnsi="Arial" w:cs="Arial"/>
                <w:color w:val="000000"/>
                <w:sz w:val="20"/>
                <w:szCs w:val="20"/>
              </w:rPr>
            </w:pPr>
          </w:p>
        </w:tc>
        <w:tc>
          <w:tcPr>
            <w:tcW w:w="1356" w:type="dxa"/>
            <w:shd w:val="clear" w:color="auto" w:fill="auto"/>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6180"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68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960"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2880" w:type="dxa"/>
            <w:gridSpan w:val="3"/>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1356" w:type="dxa"/>
            <w:vMerge w:val="restart"/>
            <w:tcBorders>
              <w:top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Layout w:type="fixed"/>
          <w:tblCellMar>
            <w:top w:w="15" w:type="dxa"/>
            <w:left w:w="15" w:type="dxa"/>
            <w:bottom w:w="15" w:type="dxa"/>
            <w:right w:w="15" w:type="dxa"/>
          </w:tblCellMar>
        </w:tblPrEx>
        <w:trPr>
          <w:trHeight w:val="325" w:hRule="atLeast"/>
        </w:trPr>
        <w:tc>
          <w:tcPr>
            <w:tcW w:w="225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93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960"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135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25"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5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615"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3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6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356"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618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68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60"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356" w:type="dxa"/>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Layout w:type="fixed"/>
          <w:tblCellMar>
            <w:top w:w="15" w:type="dxa"/>
            <w:left w:w="15" w:type="dxa"/>
            <w:bottom w:w="15" w:type="dxa"/>
            <w:right w:w="15" w:type="dxa"/>
          </w:tblCellMar>
        </w:tblPrEx>
        <w:trPr>
          <w:trHeight w:val="300" w:hRule="atLeast"/>
        </w:trPr>
        <w:tc>
          <w:tcPr>
            <w:tcW w:w="618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3930" w:type="dxa"/>
            <w:tcBorders>
              <w:top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960"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c>
          <w:tcPr>
            <w:tcW w:w="1356" w:type="dxa"/>
            <w:tcBorders>
              <w:top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00" w:hRule="atLeast"/>
        </w:trPr>
        <w:tc>
          <w:tcPr>
            <w:tcW w:w="13056" w:type="dxa"/>
            <w:gridSpan w:val="10"/>
            <w:tcBorders>
              <w:left w:val="single" w:color="000000" w:sz="12"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1005" w:hRule="atLeast"/>
        </w:trPr>
        <w:tc>
          <w:tcPr>
            <w:tcW w:w="13056" w:type="dxa"/>
            <w:gridSpan w:val="10"/>
            <w:tcBorders>
              <w:left w:val="single" w:color="000000" w:sz="12" w:space="0"/>
            </w:tcBorders>
            <w:shd w:val="clear" w:color="auto" w:fill="auto"/>
            <w:vAlign w:val="center"/>
          </w:tcPr>
          <w:p>
            <w:pPr>
              <w:widowControl/>
              <w:jc w:val="left"/>
              <w:textAlignment w:val="center"/>
              <w:rPr>
                <w:rFonts w:ascii="宋体" w:hAnsi="宋体" w:cs="宋体"/>
                <w:b/>
                <w:color w:val="000000"/>
                <w:sz w:val="32"/>
                <w:szCs w:val="32"/>
              </w:rPr>
            </w:pPr>
            <w:r>
              <w:rPr>
                <w:rFonts w:hint="eastAsia" w:ascii="宋体" w:hAnsi="宋体" w:cs="宋体"/>
                <w:b/>
                <w:color w:val="000000"/>
                <w:kern w:val="0"/>
                <w:sz w:val="32"/>
                <w:szCs w:val="32"/>
              </w:rPr>
              <w:t>说明：开封文化艺术职业学院没有政府性基金收入，也没有使用政府性基金安排的支出，故本表无数据。</w:t>
            </w:r>
          </w:p>
        </w:tc>
      </w:tr>
    </w:tbl>
    <w:p>
      <w:pPr>
        <w:jc w:val="center"/>
        <w:rPr>
          <w:rFonts w:ascii="隶书" w:hAnsi="隶书" w:eastAsia="隶书" w:cs="隶书"/>
          <w:sz w:val="48"/>
          <w:szCs w:val="48"/>
        </w:rPr>
        <w:sectPr>
          <w:pgSz w:w="16838" w:h="11906" w:orient="landscape"/>
          <w:pgMar w:top="1587" w:right="1440" w:bottom="1531" w:left="1440" w:header="850" w:footer="992" w:gutter="0"/>
          <w:pgNumType w:fmt="numberInDash"/>
          <w:cols w:space="0" w:num="1"/>
          <w:docGrid w:type="lines" w:linePitch="325" w:charSpace="0"/>
        </w:sect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25" w:charSpace="0"/>
        </w:sectPr>
      </w:pPr>
      <w:r>
        <w:rPr>
          <w:rFonts w:ascii="隶书" w:hAnsi="隶书" w:eastAsia="隶书" w:cs="隶书"/>
          <w:sz w:val="48"/>
          <w:szCs w:val="48"/>
        </w:rPr>
        <w:t>201</w:t>
      </w:r>
      <w:r>
        <w:rPr>
          <w:rFonts w:hint="eastAsia" w:ascii="隶书" w:hAnsi="隶书" w:eastAsia="隶书" w:cs="隶书"/>
          <w:sz w:val="48"/>
          <w:szCs w:val="48"/>
        </w:rPr>
        <w:t>7年度部门决算情况说明</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一、关于收入支出决算总体情况说明</w:t>
      </w:r>
    </w:p>
    <w:p>
      <w:pPr>
        <w:autoSpaceDE w:val="0"/>
        <w:autoSpaceDN w:val="0"/>
        <w:adjustRightInd w:val="0"/>
        <w:jc w:val="left"/>
        <w:rPr>
          <w:rFonts w:hint="eastAsia" w:ascii="仿宋" w:hAnsi="Times New Roman" w:eastAsia="仿宋" w:cs="仿宋"/>
          <w:sz w:val="32"/>
          <w:szCs w:val="32"/>
          <w:lang w:val="en-US" w:eastAsia="zh-CN"/>
        </w:rPr>
      </w:pPr>
      <w:r>
        <w:rPr>
          <w:rFonts w:ascii="仿宋" w:hAnsi="Times New Roman" w:eastAsia="仿宋" w:cs="仿宋"/>
          <w:sz w:val="32"/>
          <w:szCs w:val="32"/>
        </w:rPr>
        <w:t xml:space="preserve">     2017</w:t>
      </w:r>
      <w:r>
        <w:rPr>
          <w:rFonts w:hint="eastAsia" w:ascii="仿宋" w:hAnsi="Times New Roman" w:eastAsia="仿宋" w:cs="仿宋"/>
          <w:sz w:val="32"/>
          <w:szCs w:val="32"/>
        </w:rPr>
        <w:t>年度收入总计</w:t>
      </w:r>
      <w:r>
        <w:rPr>
          <w:rFonts w:ascii="仿宋" w:hAnsi="Times New Roman" w:eastAsia="仿宋" w:cs="仿宋"/>
          <w:sz w:val="32"/>
          <w:szCs w:val="32"/>
        </w:rPr>
        <w:t>15,542.5</w:t>
      </w:r>
      <w:r>
        <w:rPr>
          <w:rFonts w:hint="eastAsia" w:ascii="仿宋" w:hAnsi="Times New Roman" w:eastAsia="仿宋" w:cs="仿宋"/>
          <w:sz w:val="32"/>
          <w:szCs w:val="32"/>
        </w:rPr>
        <w:t>万元，支出总计15</w:t>
      </w:r>
      <w:r>
        <w:rPr>
          <w:rFonts w:hint="eastAsia" w:ascii="仿宋" w:hAnsi="仿宋" w:eastAsia="仿宋" w:cs="仿宋"/>
          <w:sz w:val="32"/>
          <w:szCs w:val="32"/>
        </w:rPr>
        <w:t>,</w:t>
      </w:r>
      <w:r>
        <w:rPr>
          <w:rFonts w:hint="eastAsia" w:ascii="仿宋" w:hAnsi="Times New Roman" w:eastAsia="仿宋" w:cs="仿宋"/>
          <w:sz w:val="32"/>
          <w:szCs w:val="32"/>
        </w:rPr>
        <w:t>377.95万元，与</w:t>
      </w:r>
      <w:r>
        <w:rPr>
          <w:rFonts w:ascii="仿宋" w:hAnsi="Times New Roman" w:eastAsia="仿宋" w:cs="仿宋"/>
          <w:sz w:val="32"/>
          <w:szCs w:val="32"/>
        </w:rPr>
        <w:t>2016</w:t>
      </w:r>
      <w:r>
        <w:rPr>
          <w:rFonts w:hint="eastAsia" w:ascii="仿宋" w:hAnsi="Times New Roman" w:eastAsia="仿宋" w:cs="仿宋"/>
          <w:sz w:val="32"/>
          <w:szCs w:val="32"/>
        </w:rPr>
        <w:t>年相比，收入总计增加3,873.65万元，增长33%。支出总计减少3,972.03万元，下降21</w:t>
      </w:r>
      <w:r>
        <w:rPr>
          <w:rFonts w:ascii="仿宋" w:hAnsi="Times New Roman" w:eastAsia="仿宋" w:cs="仿宋"/>
          <w:sz w:val="32"/>
          <w:szCs w:val="32"/>
        </w:rPr>
        <w:t>%</w:t>
      </w:r>
      <w:r>
        <w:rPr>
          <w:rFonts w:hint="eastAsia" w:ascii="仿宋" w:hAnsi="Times New Roman" w:eastAsia="仿宋" w:cs="仿宋"/>
          <w:sz w:val="32"/>
          <w:szCs w:val="32"/>
        </w:rPr>
        <w:t>。</w:t>
      </w:r>
      <w:r>
        <w:rPr>
          <w:rFonts w:hint="eastAsia" w:ascii="仿宋" w:hAnsi="Times New Roman" w:eastAsia="仿宋" w:cs="仿宋"/>
          <w:sz w:val="32"/>
          <w:szCs w:val="32"/>
          <w:lang w:eastAsia="zh-CN"/>
        </w:rPr>
        <w:t>收入增加</w:t>
      </w:r>
      <w:r>
        <w:rPr>
          <w:rFonts w:hint="eastAsia" w:ascii="仿宋" w:hAnsi="Times New Roman" w:eastAsia="仿宋" w:cs="仿宋"/>
          <w:sz w:val="32"/>
          <w:szCs w:val="32"/>
        </w:rPr>
        <w:t>主要原因是</w:t>
      </w:r>
      <w:r>
        <w:rPr>
          <w:rFonts w:hint="eastAsia" w:ascii="仿宋" w:hAnsi="Times New Roman" w:eastAsia="仿宋" w:cs="仿宋"/>
          <w:sz w:val="32"/>
          <w:szCs w:val="32"/>
          <w:lang w:val="en-US" w:eastAsia="zh-CN"/>
        </w:rPr>
        <w:t>2014-2017调资及养老改革款，支出下降主要原因是2016年包含在建工程转入固定资产列支出部分。</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二、关于收入决算情况说明</w:t>
      </w:r>
    </w:p>
    <w:p>
      <w:pPr>
        <w:autoSpaceDE w:val="0"/>
        <w:autoSpaceDN w:val="0"/>
        <w:adjustRightInd w:val="0"/>
        <w:ind w:firstLine="640"/>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年度收入合计</w:t>
      </w:r>
      <w:r>
        <w:rPr>
          <w:rFonts w:ascii="仿宋" w:hAnsi="Times New Roman" w:eastAsia="仿宋" w:cs="仿宋"/>
          <w:sz w:val="32"/>
          <w:szCs w:val="32"/>
        </w:rPr>
        <w:t>15,542.5</w:t>
      </w:r>
      <w:r>
        <w:rPr>
          <w:rFonts w:hint="eastAsia" w:ascii="仿宋" w:hAnsi="Times New Roman" w:eastAsia="仿宋" w:cs="仿宋"/>
          <w:sz w:val="32"/>
          <w:szCs w:val="32"/>
        </w:rPr>
        <w:t>万元，其中：财政拨款收入</w:t>
      </w:r>
      <w:r>
        <w:rPr>
          <w:rFonts w:ascii="仿宋" w:hAnsi="Times New Roman" w:eastAsia="仿宋" w:cs="仿宋"/>
          <w:sz w:val="32"/>
          <w:szCs w:val="32"/>
        </w:rPr>
        <w:t>10,809.22</w:t>
      </w:r>
      <w:r>
        <w:rPr>
          <w:rFonts w:hint="eastAsia" w:ascii="仿宋" w:hAnsi="Times New Roman" w:eastAsia="仿宋" w:cs="仿宋"/>
          <w:sz w:val="32"/>
          <w:szCs w:val="32"/>
        </w:rPr>
        <w:t>万元，占</w:t>
      </w:r>
      <w:r>
        <w:rPr>
          <w:rFonts w:ascii="仿宋" w:hAnsi="Times New Roman" w:eastAsia="仿宋" w:cs="仿宋"/>
          <w:sz w:val="32"/>
          <w:szCs w:val="32"/>
        </w:rPr>
        <w:t>69.55%</w:t>
      </w:r>
      <w:r>
        <w:rPr>
          <w:rFonts w:hint="eastAsia" w:ascii="仿宋" w:hAnsi="Times New Roman" w:eastAsia="仿宋" w:cs="仿宋"/>
          <w:sz w:val="32"/>
          <w:szCs w:val="32"/>
        </w:rPr>
        <w:t>；上级补助收入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；事业收入</w:t>
      </w:r>
      <w:r>
        <w:rPr>
          <w:rFonts w:ascii="仿宋" w:hAnsi="Times New Roman" w:eastAsia="仿宋" w:cs="仿宋"/>
          <w:sz w:val="32"/>
          <w:szCs w:val="32"/>
        </w:rPr>
        <w:t>4,300</w:t>
      </w:r>
      <w:r>
        <w:rPr>
          <w:rFonts w:hint="eastAsia" w:ascii="仿宋" w:hAnsi="Times New Roman" w:eastAsia="仿宋" w:cs="仿宋"/>
          <w:sz w:val="32"/>
          <w:szCs w:val="32"/>
        </w:rPr>
        <w:t>万元，占</w:t>
      </w:r>
      <w:r>
        <w:rPr>
          <w:rFonts w:ascii="仿宋" w:hAnsi="Times New Roman" w:eastAsia="仿宋" w:cs="仿宋"/>
          <w:sz w:val="32"/>
          <w:szCs w:val="32"/>
        </w:rPr>
        <w:t>27.67%</w:t>
      </w:r>
      <w:r>
        <w:rPr>
          <w:rFonts w:hint="eastAsia" w:ascii="仿宋" w:hAnsi="Times New Roman" w:eastAsia="仿宋" w:cs="仿宋"/>
          <w:sz w:val="32"/>
          <w:szCs w:val="32"/>
        </w:rPr>
        <w:t>；经营收入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；附属单位上缴收入</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；其他收入</w:t>
      </w:r>
      <w:r>
        <w:rPr>
          <w:rFonts w:ascii="仿宋" w:hAnsi="Times New Roman" w:eastAsia="仿宋" w:cs="仿宋"/>
          <w:sz w:val="32"/>
          <w:szCs w:val="32"/>
        </w:rPr>
        <w:t>433.27</w:t>
      </w:r>
      <w:r>
        <w:rPr>
          <w:rFonts w:hint="eastAsia" w:ascii="仿宋" w:hAnsi="Times New Roman" w:eastAsia="仿宋" w:cs="仿宋"/>
          <w:sz w:val="32"/>
          <w:szCs w:val="32"/>
        </w:rPr>
        <w:t>万元，占</w:t>
      </w:r>
      <w:r>
        <w:rPr>
          <w:rFonts w:ascii="仿宋" w:hAnsi="Times New Roman" w:eastAsia="仿宋" w:cs="仿宋"/>
          <w:sz w:val="32"/>
          <w:szCs w:val="32"/>
        </w:rPr>
        <w:t>2.79%</w:t>
      </w:r>
      <w:r>
        <w:rPr>
          <w:rFonts w:hint="eastAsia" w:ascii="仿宋" w:hAnsi="Times New Roman" w:eastAsia="仿宋" w:cs="仿宋"/>
          <w:sz w:val="32"/>
          <w:szCs w:val="32"/>
        </w:rPr>
        <w:t>。</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三、关于支出决算情况说明</w:t>
      </w:r>
    </w:p>
    <w:p>
      <w:pPr>
        <w:autoSpaceDE w:val="0"/>
        <w:autoSpaceDN w:val="0"/>
        <w:adjustRightInd w:val="0"/>
        <w:ind w:firstLine="640"/>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年度支出合计</w:t>
      </w:r>
      <w:r>
        <w:rPr>
          <w:rFonts w:ascii="仿宋" w:hAnsi="Times New Roman" w:eastAsia="仿宋" w:cs="仿宋"/>
          <w:sz w:val="32"/>
          <w:szCs w:val="32"/>
        </w:rPr>
        <w:t>15,377.95</w:t>
      </w:r>
      <w:r>
        <w:rPr>
          <w:rFonts w:hint="eastAsia" w:ascii="仿宋" w:hAnsi="Times New Roman" w:eastAsia="仿宋" w:cs="仿宋"/>
          <w:sz w:val="32"/>
          <w:szCs w:val="32"/>
        </w:rPr>
        <w:t>万元，其中：基本支出</w:t>
      </w:r>
      <w:r>
        <w:rPr>
          <w:rFonts w:ascii="仿宋" w:hAnsi="Times New Roman" w:eastAsia="仿宋" w:cs="仿宋"/>
          <w:sz w:val="32"/>
          <w:szCs w:val="32"/>
        </w:rPr>
        <w:t>15,377.95</w:t>
      </w:r>
      <w:r>
        <w:rPr>
          <w:rFonts w:hint="eastAsia" w:ascii="仿宋" w:hAnsi="Times New Roman" w:eastAsia="仿宋" w:cs="仿宋"/>
          <w:sz w:val="32"/>
          <w:szCs w:val="32"/>
        </w:rPr>
        <w:t>万元，占</w:t>
      </w:r>
      <w:r>
        <w:rPr>
          <w:rFonts w:ascii="仿宋" w:hAnsi="Times New Roman" w:eastAsia="仿宋" w:cs="仿宋"/>
          <w:sz w:val="32"/>
          <w:szCs w:val="32"/>
        </w:rPr>
        <w:t>100%</w:t>
      </w:r>
      <w:r>
        <w:rPr>
          <w:rFonts w:hint="eastAsia" w:ascii="仿宋" w:hAnsi="Times New Roman" w:eastAsia="仿宋" w:cs="仿宋"/>
          <w:sz w:val="32"/>
          <w:szCs w:val="32"/>
        </w:rPr>
        <w:t>；项目支出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；上缴上级支出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；经营支出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；对附属单位支出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四、关于财政拨款收入支出决算总体情况说明</w:t>
      </w:r>
    </w:p>
    <w:p>
      <w:pPr>
        <w:autoSpaceDE w:val="0"/>
        <w:autoSpaceDN w:val="0"/>
        <w:adjustRightInd w:val="0"/>
        <w:ind w:firstLine="640"/>
        <w:jc w:val="left"/>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年财政拨款收、支总计均为</w:t>
      </w:r>
      <w:r>
        <w:rPr>
          <w:rFonts w:ascii="仿宋" w:hAnsi="Times New Roman" w:eastAsia="仿宋" w:cs="仿宋"/>
          <w:sz w:val="32"/>
          <w:szCs w:val="32"/>
        </w:rPr>
        <w:t>10,809.22</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年相比，财政拨款收、支总计各增加</w:t>
      </w:r>
      <w:r>
        <w:rPr>
          <w:rFonts w:ascii="仿宋" w:hAnsi="Times New Roman" w:eastAsia="仿宋" w:cs="仿宋"/>
          <w:sz w:val="32"/>
          <w:szCs w:val="32"/>
        </w:rPr>
        <w:t>1,199.17</w:t>
      </w:r>
      <w:r>
        <w:rPr>
          <w:rFonts w:hint="eastAsia" w:ascii="仿宋" w:hAnsi="Times New Roman" w:eastAsia="仿宋" w:cs="仿宋"/>
          <w:sz w:val="32"/>
          <w:szCs w:val="32"/>
        </w:rPr>
        <w:t>万元，增长</w:t>
      </w:r>
      <w:r>
        <w:rPr>
          <w:rFonts w:ascii="仿宋" w:hAnsi="Times New Roman" w:eastAsia="仿宋" w:cs="仿宋"/>
          <w:sz w:val="32"/>
          <w:szCs w:val="32"/>
        </w:rPr>
        <w:t>12.48%</w:t>
      </w:r>
      <w:r>
        <w:rPr>
          <w:rFonts w:hint="eastAsia" w:ascii="仿宋" w:hAnsi="Times New Roman" w:eastAsia="仿宋" w:cs="仿宋"/>
          <w:sz w:val="32"/>
          <w:szCs w:val="32"/>
        </w:rPr>
        <w:t>。主要原因是</w:t>
      </w:r>
      <w:r>
        <w:rPr>
          <w:rFonts w:hint="eastAsia" w:ascii="仿宋" w:hAnsi="Times New Roman" w:eastAsia="仿宋" w:cs="仿宋"/>
          <w:sz w:val="32"/>
          <w:szCs w:val="32"/>
          <w:lang w:val="en-US" w:eastAsia="zh-CN"/>
        </w:rPr>
        <w:t>2014-2017调资及养老改革款。</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五、关于一般公共预算财政拨款支出决算情况说明</w:t>
      </w:r>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（一）财政拨款支出总体情况。</w:t>
      </w:r>
    </w:p>
    <w:p>
      <w:pPr>
        <w:autoSpaceDE w:val="0"/>
        <w:autoSpaceDN w:val="0"/>
        <w:adjustRightInd w:val="0"/>
        <w:ind w:firstLine="640"/>
        <w:jc w:val="left"/>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年一般公共预算财政拨款支出</w:t>
      </w:r>
      <w:r>
        <w:rPr>
          <w:rFonts w:ascii="仿宋" w:hAnsi="Times New Roman" w:eastAsia="仿宋" w:cs="仿宋"/>
          <w:sz w:val="32"/>
          <w:szCs w:val="32"/>
        </w:rPr>
        <w:t>10,809.22</w:t>
      </w:r>
      <w:r>
        <w:rPr>
          <w:rFonts w:hint="eastAsia" w:ascii="仿宋" w:hAnsi="Times New Roman" w:eastAsia="仿宋" w:cs="仿宋"/>
          <w:sz w:val="32"/>
          <w:szCs w:val="32"/>
        </w:rPr>
        <w:t>万元，占支出合计的</w:t>
      </w:r>
      <w:r>
        <w:rPr>
          <w:rFonts w:ascii="仿宋" w:hAnsi="Times New Roman" w:eastAsia="仿宋" w:cs="仿宋"/>
          <w:sz w:val="32"/>
          <w:szCs w:val="32"/>
        </w:rPr>
        <w:t>70.29%</w:t>
      </w:r>
      <w:r>
        <w:rPr>
          <w:rFonts w:hint="eastAsia" w:ascii="仿宋" w:hAnsi="Times New Roman" w:eastAsia="仿宋" w:cs="仿宋"/>
          <w:sz w:val="32"/>
          <w:szCs w:val="32"/>
        </w:rPr>
        <w:t>。与</w:t>
      </w:r>
      <w:r>
        <w:rPr>
          <w:rFonts w:ascii="仿宋" w:hAnsi="Times New Roman" w:eastAsia="仿宋" w:cs="仿宋"/>
          <w:sz w:val="32"/>
          <w:szCs w:val="32"/>
        </w:rPr>
        <w:t>2016</w:t>
      </w:r>
      <w:r>
        <w:rPr>
          <w:rFonts w:hint="eastAsia" w:ascii="仿宋" w:hAnsi="Times New Roman" w:eastAsia="仿宋" w:cs="仿宋"/>
          <w:sz w:val="32"/>
          <w:szCs w:val="32"/>
        </w:rPr>
        <w:t>年相比，一般公共预算财政拨款支出增加</w:t>
      </w:r>
      <w:r>
        <w:rPr>
          <w:rFonts w:ascii="仿宋" w:hAnsi="Times New Roman" w:eastAsia="仿宋" w:cs="仿宋"/>
          <w:sz w:val="32"/>
          <w:szCs w:val="32"/>
        </w:rPr>
        <w:t>1,199.17</w:t>
      </w:r>
      <w:r>
        <w:rPr>
          <w:rFonts w:hint="eastAsia" w:ascii="仿宋" w:hAnsi="Times New Roman" w:eastAsia="仿宋" w:cs="仿宋"/>
          <w:sz w:val="32"/>
          <w:szCs w:val="32"/>
        </w:rPr>
        <w:t>万元，增长</w:t>
      </w:r>
      <w:r>
        <w:rPr>
          <w:rFonts w:ascii="仿宋" w:hAnsi="Times New Roman" w:eastAsia="仿宋" w:cs="仿宋"/>
          <w:sz w:val="32"/>
          <w:szCs w:val="32"/>
        </w:rPr>
        <w:t>12.48%</w:t>
      </w:r>
      <w:r>
        <w:rPr>
          <w:rFonts w:hint="eastAsia" w:ascii="仿宋" w:hAnsi="Times New Roman" w:eastAsia="仿宋" w:cs="仿宋"/>
          <w:sz w:val="32"/>
          <w:szCs w:val="32"/>
        </w:rPr>
        <w:t>。主要原因</w:t>
      </w:r>
      <w:r>
        <w:rPr>
          <w:rFonts w:hint="eastAsia" w:ascii="仿宋" w:hAnsi="Times New Roman" w:eastAsia="仿宋" w:cs="仿宋"/>
          <w:sz w:val="32"/>
          <w:szCs w:val="32"/>
          <w:lang w:val="en-US" w:eastAsia="zh-CN"/>
        </w:rPr>
        <w:t>2014-2017调资及养老改革款。</w:t>
      </w:r>
      <w:bookmarkStart w:id="0" w:name="_GoBack"/>
      <w:bookmarkEnd w:id="0"/>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（二）财政拨款支出决算结构情况。</w:t>
      </w:r>
    </w:p>
    <w:p>
      <w:pPr>
        <w:autoSpaceDE w:val="0"/>
        <w:autoSpaceDN w:val="0"/>
        <w:adjustRightInd w:val="0"/>
        <w:ind w:firstLine="640"/>
        <w:jc w:val="left"/>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w:t>
      </w:r>
      <w:r>
        <w:rPr>
          <w:rFonts w:ascii="仿宋" w:hAnsi="Times New Roman" w:eastAsia="仿宋" w:cs="仿宋"/>
          <w:sz w:val="32"/>
          <w:szCs w:val="32"/>
        </w:rPr>
        <w:t>10,809.22</w:t>
      </w:r>
      <w:r>
        <w:rPr>
          <w:rFonts w:hint="eastAsia" w:ascii="仿宋" w:hAnsi="Times New Roman" w:eastAsia="仿宋" w:cs="仿宋"/>
          <w:sz w:val="32"/>
          <w:szCs w:val="32"/>
        </w:rPr>
        <w:t>万元，主要用于以下方面：一般公共服务（类）支出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；外交（类）支出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；国防（类）支出</w:t>
      </w:r>
      <w:r>
        <w:rPr>
          <w:rFonts w:ascii="仿宋" w:hAnsi="Times New Roman" w:eastAsia="仿宋" w:cs="仿宋"/>
          <w:sz w:val="32"/>
          <w:szCs w:val="32"/>
        </w:rPr>
        <w:t>0.75</w:t>
      </w:r>
      <w:r>
        <w:rPr>
          <w:rFonts w:hint="eastAsia" w:ascii="仿宋" w:hAnsi="Times New Roman" w:eastAsia="仿宋" w:cs="仿宋"/>
          <w:sz w:val="32"/>
          <w:szCs w:val="32"/>
        </w:rPr>
        <w:t>万元，占</w:t>
      </w:r>
      <w:r>
        <w:rPr>
          <w:rFonts w:ascii="仿宋" w:hAnsi="Times New Roman" w:eastAsia="仿宋" w:cs="仿宋"/>
          <w:sz w:val="32"/>
          <w:szCs w:val="32"/>
        </w:rPr>
        <w:t>0.01%</w:t>
      </w:r>
      <w:r>
        <w:rPr>
          <w:rFonts w:hint="eastAsia" w:ascii="仿宋" w:hAnsi="Times New Roman" w:eastAsia="仿宋" w:cs="仿宋"/>
          <w:sz w:val="32"/>
          <w:szCs w:val="32"/>
        </w:rPr>
        <w:t>；公共安全（类）支出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；教育（类）支出</w:t>
      </w:r>
      <w:r>
        <w:rPr>
          <w:rFonts w:ascii="仿宋" w:hAnsi="Times New Roman" w:eastAsia="仿宋" w:cs="仿宋"/>
          <w:sz w:val="32"/>
          <w:szCs w:val="32"/>
        </w:rPr>
        <w:t>9,013.84</w:t>
      </w:r>
      <w:r>
        <w:rPr>
          <w:rFonts w:hint="eastAsia" w:ascii="仿宋" w:hAnsi="Times New Roman" w:eastAsia="仿宋" w:cs="仿宋"/>
          <w:sz w:val="32"/>
          <w:szCs w:val="32"/>
        </w:rPr>
        <w:t>万元，占</w:t>
      </w:r>
      <w:r>
        <w:rPr>
          <w:rFonts w:ascii="仿宋" w:hAnsi="Times New Roman" w:eastAsia="仿宋" w:cs="仿宋"/>
          <w:sz w:val="32"/>
          <w:szCs w:val="32"/>
        </w:rPr>
        <w:t>83.39%</w:t>
      </w:r>
      <w:r>
        <w:rPr>
          <w:rFonts w:hint="eastAsia" w:ascii="仿宋" w:hAnsi="Times New Roman" w:eastAsia="仿宋" w:cs="仿宋"/>
          <w:sz w:val="32"/>
          <w:szCs w:val="32"/>
        </w:rPr>
        <w:t>；科学技术（类）支出</w:t>
      </w:r>
      <w:r>
        <w:rPr>
          <w:rFonts w:ascii="仿宋" w:hAnsi="Times New Roman" w:eastAsia="仿宋" w:cs="仿宋"/>
          <w:sz w:val="32"/>
          <w:szCs w:val="32"/>
        </w:rPr>
        <w:t>100</w:t>
      </w:r>
      <w:r>
        <w:rPr>
          <w:rFonts w:hint="eastAsia" w:ascii="仿宋" w:hAnsi="Times New Roman" w:eastAsia="仿宋" w:cs="仿宋"/>
          <w:sz w:val="32"/>
          <w:szCs w:val="32"/>
        </w:rPr>
        <w:t>万元，占</w:t>
      </w:r>
      <w:r>
        <w:rPr>
          <w:rFonts w:ascii="仿宋" w:hAnsi="Times New Roman" w:eastAsia="仿宋" w:cs="仿宋"/>
          <w:sz w:val="32"/>
          <w:szCs w:val="32"/>
        </w:rPr>
        <w:t>0.93%</w:t>
      </w:r>
      <w:r>
        <w:rPr>
          <w:rFonts w:hint="eastAsia" w:ascii="仿宋" w:hAnsi="Times New Roman" w:eastAsia="仿宋" w:cs="仿宋"/>
          <w:sz w:val="32"/>
          <w:szCs w:val="32"/>
        </w:rPr>
        <w:t>；文化体育与传媒（类）支出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；社会保障和就业（类）支出</w:t>
      </w:r>
      <w:r>
        <w:rPr>
          <w:rFonts w:ascii="仿宋" w:hAnsi="Times New Roman" w:eastAsia="仿宋" w:cs="仿宋"/>
          <w:sz w:val="32"/>
          <w:szCs w:val="32"/>
        </w:rPr>
        <w:t>991.2</w:t>
      </w:r>
      <w:r>
        <w:rPr>
          <w:rFonts w:hint="eastAsia" w:ascii="仿宋" w:hAnsi="Times New Roman" w:eastAsia="仿宋" w:cs="仿宋"/>
          <w:sz w:val="32"/>
          <w:szCs w:val="32"/>
        </w:rPr>
        <w:t>万元，占</w:t>
      </w:r>
      <w:r>
        <w:rPr>
          <w:rFonts w:ascii="仿宋" w:hAnsi="Times New Roman" w:eastAsia="仿宋" w:cs="仿宋"/>
          <w:sz w:val="32"/>
          <w:szCs w:val="32"/>
        </w:rPr>
        <w:t>9.17%</w:t>
      </w:r>
      <w:r>
        <w:rPr>
          <w:rFonts w:hint="eastAsia" w:ascii="仿宋" w:hAnsi="Times New Roman" w:eastAsia="仿宋" w:cs="仿宋"/>
          <w:sz w:val="32"/>
          <w:szCs w:val="32"/>
        </w:rPr>
        <w:t>；医疗卫生和计划生育（类）支出</w:t>
      </w:r>
      <w:r>
        <w:rPr>
          <w:rFonts w:ascii="仿宋" w:hAnsi="Times New Roman" w:eastAsia="仿宋" w:cs="仿宋"/>
          <w:sz w:val="32"/>
          <w:szCs w:val="32"/>
        </w:rPr>
        <w:t>408.09</w:t>
      </w:r>
      <w:r>
        <w:rPr>
          <w:rFonts w:hint="eastAsia" w:ascii="仿宋" w:hAnsi="Times New Roman" w:eastAsia="仿宋" w:cs="仿宋"/>
          <w:sz w:val="32"/>
          <w:szCs w:val="32"/>
        </w:rPr>
        <w:t>万元，占</w:t>
      </w:r>
      <w:r>
        <w:rPr>
          <w:rFonts w:ascii="仿宋" w:hAnsi="Times New Roman" w:eastAsia="仿宋" w:cs="仿宋"/>
          <w:sz w:val="32"/>
          <w:szCs w:val="32"/>
        </w:rPr>
        <w:t>3.78%</w:t>
      </w:r>
      <w:r>
        <w:rPr>
          <w:rFonts w:hint="eastAsia" w:ascii="仿宋" w:hAnsi="Times New Roman" w:eastAsia="仿宋" w:cs="仿宋"/>
          <w:sz w:val="32"/>
          <w:szCs w:val="32"/>
        </w:rPr>
        <w:t>；节能环保（类）支出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；城乡社区（类）支出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；农林水（类）支出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；交通运输（类）支出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；资源勘探信息（类）支出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；商业服务业（类）支出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；金融（类）支出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；援助其他地区（类）支出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；国土海洋气象（类）支出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；住房保障（类）支出</w:t>
      </w:r>
      <w:r>
        <w:rPr>
          <w:rFonts w:ascii="仿宋" w:hAnsi="Times New Roman" w:eastAsia="仿宋" w:cs="仿宋"/>
          <w:sz w:val="32"/>
          <w:szCs w:val="32"/>
        </w:rPr>
        <w:t>295.35</w:t>
      </w:r>
      <w:r>
        <w:rPr>
          <w:rFonts w:hint="eastAsia" w:ascii="仿宋" w:hAnsi="Times New Roman" w:eastAsia="仿宋" w:cs="仿宋"/>
          <w:sz w:val="32"/>
          <w:szCs w:val="32"/>
        </w:rPr>
        <w:t>万元，占</w:t>
      </w:r>
      <w:r>
        <w:rPr>
          <w:rFonts w:ascii="仿宋" w:hAnsi="Times New Roman" w:eastAsia="仿宋" w:cs="仿宋"/>
          <w:sz w:val="32"/>
          <w:szCs w:val="32"/>
        </w:rPr>
        <w:t>2.73%</w:t>
      </w:r>
      <w:r>
        <w:rPr>
          <w:rFonts w:hint="eastAsia" w:ascii="仿宋" w:hAnsi="Times New Roman" w:eastAsia="仿宋" w:cs="仿宋"/>
          <w:sz w:val="32"/>
          <w:szCs w:val="32"/>
        </w:rPr>
        <w:t>；粮油物资储备（类）支出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；其他（类）支出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；债务还本（类）支出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；债务付息（类）支出</w:t>
      </w:r>
      <w:r>
        <w:rPr>
          <w:rFonts w:ascii="仿宋" w:hAnsi="Times New Roman" w:eastAsia="仿宋" w:cs="仿宋"/>
          <w:sz w:val="32"/>
          <w:szCs w:val="32"/>
        </w:rPr>
        <w:t>0</w:t>
      </w:r>
      <w:r>
        <w:rPr>
          <w:rFonts w:hint="eastAsia" w:ascii="仿宋" w:hAnsi="Times New Roman" w:eastAsia="仿宋" w:cs="仿宋"/>
          <w:sz w:val="32"/>
          <w:szCs w:val="32"/>
        </w:rPr>
        <w:t>万元，占</w:t>
      </w:r>
      <w:r>
        <w:rPr>
          <w:rFonts w:ascii="仿宋" w:hAnsi="Times New Roman" w:eastAsia="仿宋" w:cs="仿宋"/>
          <w:sz w:val="32"/>
          <w:szCs w:val="32"/>
        </w:rPr>
        <w:t>0%</w:t>
      </w:r>
      <w:r>
        <w:rPr>
          <w:rFonts w:hint="eastAsia" w:ascii="仿宋" w:hAnsi="Times New Roman" w:eastAsia="仿宋" w:cs="仿宋"/>
          <w:sz w:val="32"/>
          <w:szCs w:val="32"/>
        </w:rPr>
        <w:t>。</w:t>
      </w:r>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（三）财政拨款支出决算具体情况。</w:t>
      </w:r>
    </w:p>
    <w:p>
      <w:pPr>
        <w:autoSpaceDE w:val="0"/>
        <w:autoSpaceDN w:val="0"/>
        <w:adjustRightInd w:val="0"/>
        <w:ind w:firstLine="640"/>
        <w:rPr>
          <w:rFonts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年度一般公共预算财政拨款支出年初预算为</w:t>
      </w:r>
      <w:r>
        <w:rPr>
          <w:rFonts w:ascii="仿宋" w:hAnsi="Times New Roman" w:eastAsia="仿宋" w:cs="仿宋"/>
          <w:sz w:val="32"/>
          <w:szCs w:val="32"/>
        </w:rPr>
        <w:t>10,809.22</w:t>
      </w:r>
      <w:r>
        <w:rPr>
          <w:rFonts w:hint="eastAsia" w:ascii="仿宋" w:hAnsi="Times New Roman" w:eastAsia="仿宋" w:cs="仿宋"/>
          <w:sz w:val="32"/>
          <w:szCs w:val="32"/>
        </w:rPr>
        <w:t>万元，支出决算为</w:t>
      </w:r>
      <w:r>
        <w:rPr>
          <w:rFonts w:ascii="仿宋" w:hAnsi="Times New Roman" w:eastAsia="仿宋" w:cs="仿宋"/>
          <w:sz w:val="32"/>
          <w:szCs w:val="32"/>
        </w:rPr>
        <w:t>10,809.22</w:t>
      </w:r>
      <w:r>
        <w:rPr>
          <w:rFonts w:hint="eastAsia" w:ascii="仿宋" w:hAnsi="Times New Roman" w:eastAsia="仿宋" w:cs="仿宋"/>
          <w:sz w:val="32"/>
          <w:szCs w:val="32"/>
        </w:rPr>
        <w:t>万元，完成年初预算的</w:t>
      </w:r>
      <w:r>
        <w:rPr>
          <w:rFonts w:ascii="仿宋" w:hAnsi="Times New Roman" w:eastAsia="仿宋" w:cs="仿宋"/>
          <w:sz w:val="32"/>
          <w:szCs w:val="32"/>
        </w:rPr>
        <w:t>100%</w:t>
      </w:r>
      <w:r>
        <w:rPr>
          <w:rFonts w:hint="eastAsia" w:ascii="仿宋" w:hAnsi="Times New Roman" w:eastAsia="仿宋" w:cs="仿宋"/>
          <w:sz w:val="32"/>
          <w:szCs w:val="32"/>
        </w:rPr>
        <w:t>。</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六、关于一般公共预算财政拨款基本支出决算情况说明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 w:hAnsi="Times New Roman" w:eastAsia="仿宋" w:cs="仿宋"/>
          <w:sz w:val="32"/>
          <w:szCs w:val="32"/>
        </w:rPr>
        <w:t>2017</w:t>
      </w:r>
      <w:r>
        <w:rPr>
          <w:rFonts w:hint="eastAsia" w:ascii="仿宋" w:hAnsi="Times New Roman" w:eastAsia="仿宋" w:cs="仿宋"/>
          <w:sz w:val="32"/>
          <w:szCs w:val="32"/>
        </w:rPr>
        <w:t>年一般公共预算财政拨款基本支出</w:t>
      </w:r>
      <w:r>
        <w:rPr>
          <w:rFonts w:ascii="仿宋" w:hAnsi="Times New Roman" w:eastAsia="仿宋" w:cs="仿宋"/>
          <w:sz w:val="32"/>
          <w:szCs w:val="32"/>
        </w:rPr>
        <w:t>10,809.22</w:t>
      </w:r>
      <w:r>
        <w:rPr>
          <w:rFonts w:hint="eastAsia" w:ascii="仿宋" w:hAnsi="Times New Roman" w:eastAsia="仿宋" w:cs="仿宋"/>
          <w:sz w:val="32"/>
          <w:szCs w:val="32"/>
        </w:rPr>
        <w:t>万元。与</w:t>
      </w:r>
      <w:r>
        <w:rPr>
          <w:rFonts w:ascii="仿宋" w:hAnsi="Times New Roman" w:eastAsia="仿宋" w:cs="仿宋"/>
          <w:sz w:val="32"/>
          <w:szCs w:val="32"/>
        </w:rPr>
        <w:t>2016</w:t>
      </w:r>
      <w:r>
        <w:rPr>
          <w:rFonts w:hint="eastAsia" w:ascii="仿宋" w:hAnsi="Times New Roman" w:eastAsia="仿宋" w:cs="仿宋"/>
          <w:sz w:val="32"/>
          <w:szCs w:val="32"/>
        </w:rPr>
        <w:t>年相比，增加</w:t>
      </w:r>
      <w:r>
        <w:rPr>
          <w:rFonts w:ascii="仿宋" w:hAnsi="Times New Roman" w:eastAsia="仿宋" w:cs="仿宋"/>
          <w:sz w:val="32"/>
          <w:szCs w:val="32"/>
        </w:rPr>
        <w:t>1,199.17</w:t>
      </w:r>
      <w:r>
        <w:rPr>
          <w:rFonts w:hint="eastAsia" w:ascii="仿宋" w:hAnsi="Times New Roman" w:eastAsia="仿宋" w:cs="仿宋"/>
          <w:sz w:val="32"/>
          <w:szCs w:val="32"/>
        </w:rPr>
        <w:t>万元，增长</w:t>
      </w:r>
      <w:r>
        <w:rPr>
          <w:rFonts w:ascii="仿宋" w:hAnsi="Times New Roman" w:eastAsia="仿宋" w:cs="仿宋"/>
          <w:sz w:val="32"/>
          <w:szCs w:val="32"/>
        </w:rPr>
        <w:t>12.48%</w:t>
      </w:r>
      <w:r>
        <w:rPr>
          <w:rFonts w:hint="eastAsia" w:ascii="仿宋" w:hAnsi="Times New Roman" w:eastAsia="仿宋" w:cs="仿宋"/>
          <w:sz w:val="32"/>
          <w:szCs w:val="32"/>
        </w:rPr>
        <w:t>。其中：人员经费</w:t>
      </w:r>
      <w:r>
        <w:rPr>
          <w:rFonts w:ascii="仿宋" w:hAnsi="Times New Roman" w:eastAsia="仿宋" w:cs="仿宋"/>
          <w:sz w:val="32"/>
          <w:szCs w:val="32"/>
        </w:rPr>
        <w:t>7,232.31</w:t>
      </w:r>
      <w:r>
        <w:rPr>
          <w:rFonts w:hint="eastAsia" w:ascii="仿宋" w:hAnsi="Times New Roman" w:eastAsia="仿宋" w:cs="仿宋"/>
          <w:sz w:val="32"/>
          <w:szCs w:val="32"/>
        </w:rPr>
        <w:t>万元，主要包括：基本工资、津贴补贴、伙食补助费、绩效工资、</w:t>
      </w:r>
      <w:r>
        <w:rPr>
          <w:rFonts w:hint="eastAsia" w:ascii="仿宋_GB2312" w:hAnsi="宋体" w:eastAsia="仿宋_GB2312" w:cs="Courier New"/>
          <w:sz w:val="32"/>
          <w:szCs w:val="32"/>
        </w:rPr>
        <w:t>其他工资福利支出、离休费、退休费、抚恤金、生活补助、医疗费、助学金、奖励金、住房公积金、其他对个人和家庭的补助支出；</w:t>
      </w:r>
      <w:r>
        <w:rPr>
          <w:rFonts w:hint="eastAsia" w:ascii="仿宋" w:hAnsi="Times New Roman" w:eastAsia="仿宋" w:cs="仿宋"/>
          <w:sz w:val="32"/>
          <w:szCs w:val="32"/>
        </w:rPr>
        <w:t>公用经费</w:t>
      </w:r>
      <w:r>
        <w:rPr>
          <w:rFonts w:ascii="仿宋" w:hAnsi="Times New Roman" w:eastAsia="仿宋" w:cs="仿宋"/>
          <w:sz w:val="32"/>
          <w:szCs w:val="32"/>
        </w:rPr>
        <w:t>3,576.92</w:t>
      </w:r>
      <w:r>
        <w:rPr>
          <w:rFonts w:hint="eastAsia" w:ascii="仿宋" w:hAnsi="Times New Roman" w:eastAsia="仿宋" w:cs="仿宋"/>
          <w:sz w:val="32"/>
          <w:szCs w:val="32"/>
        </w:rPr>
        <w:t>万元，主要包括：办公费、</w:t>
      </w:r>
      <w:r>
        <w:rPr>
          <w:rFonts w:hint="eastAsia" w:ascii="仿宋_GB2312" w:hAnsi="宋体" w:eastAsia="仿宋_GB2312" w:cs="Courier New"/>
          <w:sz w:val="32"/>
          <w:szCs w:val="32"/>
        </w:rPr>
        <w:t>印刷费、咨询费、手续费、水费、电费、邮电费、取暖费、物业管理费、差旅费、维修（护）费、租赁费、会议费、培训费、公务接待费、专用材料费、劳务费、工会经费、公务用车运行维护费、其他交通费用、其他商品和服务支出办公设备购置、专用设备购置、大型修缮、信息网络及软件购置更新、其他资本性支出、国内债务付息。</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七、关于一般公共预算财政拨款</w:t>
      </w:r>
      <w:r>
        <w:rPr>
          <w:rFonts w:ascii="黑体" w:hAnsi="Times New Roman" w:eastAsia="黑体" w:cs="黑体"/>
          <w:sz w:val="32"/>
          <w:szCs w:val="32"/>
        </w:rPr>
        <w:t>“</w:t>
      </w:r>
      <w:r>
        <w:rPr>
          <w:rFonts w:hint="eastAsia" w:ascii="黑体" w:hAnsi="Times New Roman" w:eastAsia="黑体" w:cs="黑体"/>
          <w:sz w:val="32"/>
          <w:szCs w:val="32"/>
        </w:rPr>
        <w:t>三公</w:t>
      </w:r>
      <w:r>
        <w:rPr>
          <w:rFonts w:ascii="黑体" w:hAnsi="Times New Roman" w:eastAsia="黑体" w:cs="黑体"/>
          <w:sz w:val="32"/>
          <w:szCs w:val="32"/>
        </w:rPr>
        <w:t>”</w:t>
      </w:r>
      <w:r>
        <w:rPr>
          <w:rFonts w:hint="eastAsia" w:ascii="黑体" w:hAnsi="Times New Roman" w:eastAsia="黑体" w:cs="黑体"/>
          <w:sz w:val="32"/>
          <w:szCs w:val="32"/>
        </w:rPr>
        <w:t>经费支出决算情况说明</w:t>
      </w:r>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（一）</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经费财政拨款支出决算总体情况说明。</w:t>
      </w:r>
    </w:p>
    <w:p>
      <w:pPr>
        <w:autoSpaceDE w:val="0"/>
        <w:autoSpaceDN w:val="0"/>
        <w:adjustRightInd w:val="0"/>
        <w:ind w:firstLine="640"/>
        <w:rPr>
          <w:rFonts w:ascii="仿宋_GB2312" w:hAnsi="宋体" w:eastAsia="仿宋_GB2312" w:cs="Courier New"/>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w:t>
      </w:r>
      <w:r>
        <w:rPr>
          <w:rFonts w:hint="eastAsia" w:ascii="仿宋_GB2312" w:hAnsi="宋体" w:eastAsia="仿宋_GB2312" w:cs="Courier New"/>
          <w:sz w:val="32"/>
          <w:szCs w:val="32"/>
        </w:rPr>
        <w:t>公务用车购置及运行费</w:t>
      </w:r>
      <w:r>
        <w:rPr>
          <w:rFonts w:hint="eastAsia" w:ascii="仿宋" w:hAnsi="Times New Roman" w:eastAsia="仿宋" w:cs="仿宋"/>
          <w:sz w:val="32"/>
          <w:szCs w:val="32"/>
        </w:rPr>
        <w:t>预算为60万元，支出决算为</w:t>
      </w:r>
      <w:r>
        <w:rPr>
          <w:rFonts w:ascii="仿宋" w:hAnsi="Times New Roman" w:eastAsia="仿宋" w:cs="仿宋"/>
          <w:sz w:val="32"/>
          <w:szCs w:val="32"/>
        </w:rPr>
        <w:t>50.05</w:t>
      </w:r>
      <w:r>
        <w:rPr>
          <w:rFonts w:hint="eastAsia" w:ascii="仿宋" w:hAnsi="Times New Roman" w:eastAsia="仿宋" w:cs="仿宋"/>
          <w:sz w:val="32"/>
          <w:szCs w:val="32"/>
        </w:rPr>
        <w:t>万元，完成预算的</w:t>
      </w:r>
      <w:r>
        <w:rPr>
          <w:rFonts w:ascii="仿宋" w:hAnsi="Times New Roman" w:eastAsia="仿宋" w:cs="仿宋"/>
          <w:sz w:val="32"/>
          <w:szCs w:val="32"/>
        </w:rPr>
        <w:t>83.41%</w:t>
      </w:r>
      <w:r>
        <w:rPr>
          <w:rFonts w:hint="eastAsia" w:ascii="仿宋" w:hAnsi="Times New Roman" w:eastAsia="仿宋" w:cs="仿宋"/>
          <w:sz w:val="32"/>
          <w:szCs w:val="32"/>
        </w:rPr>
        <w:t>。</w:t>
      </w:r>
      <w:r>
        <w:rPr>
          <w:rFonts w:hint="eastAsia" w:ascii="仿宋_GB2312" w:hAnsi="宋体" w:eastAsia="仿宋_GB2312" w:cs="Courier New"/>
          <w:sz w:val="32"/>
          <w:szCs w:val="32"/>
        </w:rPr>
        <w:t>其中：因公出国（境）费支出决算为0万元，完成预算的0</w:t>
      </w:r>
      <w:r>
        <w:rPr>
          <w:rFonts w:ascii="仿宋_GB2312" w:hAnsi="宋体" w:eastAsia="仿宋_GB2312" w:cs="Courier New"/>
          <w:sz w:val="32"/>
          <w:szCs w:val="32"/>
        </w:rPr>
        <w:t>%</w:t>
      </w:r>
      <w:r>
        <w:rPr>
          <w:rFonts w:hint="eastAsia" w:ascii="仿宋_GB2312" w:hAnsi="宋体" w:eastAsia="仿宋_GB2312" w:cs="Courier New"/>
          <w:sz w:val="32"/>
          <w:szCs w:val="32"/>
        </w:rPr>
        <w:t>；公务用车购置及运行费支出决算为50.05万元，完成预算的83.41</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；公务接待费支出决算为0万元，完成预算的0</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ascii="仿宋_GB2312" w:hAnsi="宋体" w:eastAsia="仿宋_GB2312" w:cs="Courier New"/>
          <w:sz w:val="32"/>
          <w:szCs w:val="32"/>
        </w:rPr>
        <w:t>201</w:t>
      </w:r>
      <w:r>
        <w:rPr>
          <w:rFonts w:hint="eastAsia" w:ascii="仿宋_GB2312" w:hAnsi="宋体" w:eastAsia="仿宋_GB2312" w:cs="Courier New"/>
          <w:sz w:val="32"/>
          <w:szCs w:val="32"/>
        </w:rPr>
        <w:t>7年度“三公”经费支出决算数小于预算数的主要原因是严格执行中央八项规定，严肃财经纪律，厉行节约，反对浪费，大力压缩公务用车购置及运行费支出。</w:t>
      </w:r>
    </w:p>
    <w:p>
      <w:pPr>
        <w:pStyle w:val="3"/>
        <w:kinsoku w:val="0"/>
        <w:overflowPunct w:val="0"/>
        <w:snapToGrid w:val="0"/>
        <w:spacing w:line="360" w:lineRule="auto"/>
        <w:ind w:left="0" w:firstLine="640" w:firstLineChars="200"/>
        <w:jc w:val="both"/>
        <w:rPr>
          <w:rFonts w:hAnsi="宋体" w:eastAsia="仿宋_GB2312" w:cs="Courier New"/>
          <w:sz w:val="32"/>
        </w:rPr>
      </w:pPr>
      <w:r>
        <w:rPr>
          <w:rFonts w:hAnsi="宋体" w:eastAsia="仿宋_GB2312" w:cs="Courier New"/>
          <w:sz w:val="32"/>
        </w:rPr>
        <w:t>201</w:t>
      </w:r>
      <w:r>
        <w:rPr>
          <w:rFonts w:hint="eastAsia" w:hAnsi="宋体" w:eastAsia="仿宋_GB2312" w:cs="Courier New"/>
          <w:sz w:val="32"/>
        </w:rPr>
        <w:t>7年度“三公”经费财政拨款支出决算数比</w:t>
      </w:r>
      <w:r>
        <w:rPr>
          <w:rFonts w:hAnsi="宋体" w:eastAsia="仿宋_GB2312" w:cs="Courier New"/>
          <w:sz w:val="32"/>
        </w:rPr>
        <w:t>201</w:t>
      </w:r>
      <w:r>
        <w:rPr>
          <w:rFonts w:hint="eastAsia" w:hAnsi="宋体" w:eastAsia="仿宋_GB2312" w:cs="Courier New"/>
          <w:sz w:val="32"/>
        </w:rPr>
        <w:t>6年增加（减少）0万元，增长（下降）0</w:t>
      </w:r>
      <w:r>
        <w:rPr>
          <w:rFonts w:hAnsi="宋体" w:eastAsia="仿宋_GB2312" w:cs="Courier New"/>
          <w:sz w:val="32"/>
        </w:rPr>
        <w:t>%</w:t>
      </w:r>
      <w:r>
        <w:rPr>
          <w:rFonts w:hint="eastAsia" w:hAnsi="宋体" w:eastAsia="仿宋_GB2312" w:cs="Courier New"/>
          <w:sz w:val="32"/>
        </w:rPr>
        <w:t>，其中：因公出国（境）费支出决算增加（减少）0万元，增长（下降）0</w:t>
      </w:r>
      <w:r>
        <w:rPr>
          <w:rFonts w:hAnsi="宋体" w:eastAsia="仿宋_GB2312" w:cs="Courier New"/>
          <w:sz w:val="32"/>
        </w:rPr>
        <w:t>%</w:t>
      </w:r>
      <w:r>
        <w:rPr>
          <w:rFonts w:hint="eastAsia" w:hAnsi="宋体" w:eastAsia="仿宋_GB2312" w:cs="Courier New"/>
          <w:sz w:val="32"/>
        </w:rPr>
        <w:t>；公务用车购置及运行费支出决算增加（减少）0万元，增长（下降）0</w:t>
      </w:r>
      <w:r>
        <w:rPr>
          <w:rFonts w:hAnsi="宋体" w:eastAsia="仿宋_GB2312" w:cs="Courier New"/>
          <w:sz w:val="32"/>
        </w:rPr>
        <w:t>%</w:t>
      </w:r>
      <w:r>
        <w:rPr>
          <w:rFonts w:hint="eastAsia" w:hAnsi="宋体" w:eastAsia="仿宋_GB2312" w:cs="Courier New"/>
          <w:sz w:val="32"/>
        </w:rPr>
        <w:t>；公务接待费支出决算增加（减少）0万元，增长（下降）0</w:t>
      </w:r>
      <w:r>
        <w:rPr>
          <w:rFonts w:hAnsi="宋体" w:eastAsia="仿宋_GB2312" w:cs="Courier New"/>
          <w:sz w:val="32"/>
        </w:rPr>
        <w:t>%</w:t>
      </w:r>
      <w:r>
        <w:rPr>
          <w:rFonts w:hint="eastAsia" w:hAnsi="宋体" w:eastAsia="仿宋_GB2312" w:cs="Courier New"/>
          <w:sz w:val="32"/>
        </w:rPr>
        <w:t>。</w:t>
      </w:r>
    </w:p>
    <w:p>
      <w:pPr>
        <w:autoSpaceDE w:val="0"/>
        <w:autoSpaceDN w:val="0"/>
        <w:adjustRightInd w:val="0"/>
        <w:ind w:firstLine="640"/>
        <w:rPr>
          <w:rFonts w:ascii="仿宋" w:hAnsi="Times New Roman" w:eastAsia="仿宋" w:cs="仿宋"/>
          <w:sz w:val="32"/>
          <w:szCs w:val="32"/>
        </w:rPr>
      </w:pPr>
      <w:r>
        <w:rPr>
          <w:rFonts w:hint="eastAsia" w:ascii="楷体" w:hAnsi="Times New Roman" w:eastAsia="楷体" w:cs="楷体"/>
          <w:sz w:val="32"/>
          <w:szCs w:val="32"/>
        </w:rPr>
        <w:t>（二）</w:t>
      </w:r>
      <w:r>
        <w:rPr>
          <w:rFonts w:ascii="楷体" w:hAnsi="Times New Roman" w:eastAsia="楷体" w:cs="楷体"/>
          <w:sz w:val="32"/>
          <w:szCs w:val="32"/>
        </w:rPr>
        <w:t>“</w:t>
      </w:r>
      <w:r>
        <w:rPr>
          <w:rFonts w:hint="eastAsia" w:ascii="楷体" w:hAnsi="Times New Roman" w:eastAsia="楷体" w:cs="楷体"/>
          <w:sz w:val="32"/>
          <w:szCs w:val="32"/>
        </w:rPr>
        <w:t>三公</w:t>
      </w:r>
      <w:r>
        <w:rPr>
          <w:rFonts w:ascii="楷体" w:hAnsi="Times New Roman" w:eastAsia="楷体" w:cs="楷体"/>
          <w:sz w:val="32"/>
          <w:szCs w:val="32"/>
        </w:rPr>
        <w:t>”</w:t>
      </w:r>
      <w:r>
        <w:rPr>
          <w:rFonts w:hint="eastAsia" w:ascii="楷体" w:hAnsi="Times New Roman" w:eastAsia="楷体" w:cs="楷体"/>
          <w:sz w:val="32"/>
          <w:szCs w:val="32"/>
        </w:rPr>
        <w:t>经费财政拨款支出决算具体情况说明。</w:t>
      </w:r>
    </w:p>
    <w:p>
      <w:pPr>
        <w:autoSpaceDE w:val="0"/>
        <w:autoSpaceDN w:val="0"/>
        <w:adjustRightInd w:val="0"/>
        <w:ind w:firstLine="640"/>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w:t>
      </w:r>
      <w:r>
        <w:rPr>
          <w:rFonts w:ascii="仿宋" w:hAnsi="Times New Roman" w:eastAsia="仿宋" w:cs="仿宋"/>
          <w:sz w:val="32"/>
          <w:szCs w:val="32"/>
        </w:rPr>
        <w:t>“</w:t>
      </w:r>
      <w:r>
        <w:rPr>
          <w:rFonts w:hint="eastAsia" w:ascii="仿宋" w:hAnsi="Times New Roman" w:eastAsia="仿宋" w:cs="仿宋"/>
          <w:sz w:val="32"/>
          <w:szCs w:val="32"/>
        </w:rPr>
        <w:t>三公</w:t>
      </w:r>
      <w:r>
        <w:rPr>
          <w:rFonts w:ascii="仿宋" w:hAnsi="Times New Roman" w:eastAsia="仿宋" w:cs="仿宋"/>
          <w:sz w:val="32"/>
          <w:szCs w:val="32"/>
        </w:rPr>
        <w:t>”</w:t>
      </w:r>
      <w:r>
        <w:rPr>
          <w:rFonts w:hint="eastAsia" w:ascii="仿宋" w:hAnsi="Times New Roman" w:eastAsia="仿宋" w:cs="仿宋"/>
          <w:sz w:val="32"/>
          <w:szCs w:val="32"/>
        </w:rPr>
        <w:t>经费财政拨款支出决算中，因公出国（境）费支出决算</w:t>
      </w:r>
      <w:r>
        <w:rPr>
          <w:rFonts w:ascii="仿宋" w:hAnsi="Times New Roman" w:eastAsia="仿宋" w:cs="仿宋"/>
          <w:sz w:val="32"/>
          <w:szCs w:val="32"/>
        </w:rPr>
        <w:t>0</w:t>
      </w:r>
      <w:r>
        <w:rPr>
          <w:rFonts w:hint="eastAsia" w:ascii="仿宋" w:hAnsi="Times New Roman" w:eastAsia="仿宋" w:cs="仿宋"/>
          <w:sz w:val="32"/>
          <w:szCs w:val="32"/>
        </w:rPr>
        <w:t>万元，完成预算的</w:t>
      </w:r>
      <w:r>
        <w:rPr>
          <w:rFonts w:ascii="仿宋" w:hAnsi="Times New Roman" w:eastAsia="仿宋" w:cs="仿宋"/>
          <w:sz w:val="32"/>
          <w:szCs w:val="32"/>
        </w:rPr>
        <w:t>0%</w:t>
      </w:r>
      <w:r>
        <w:rPr>
          <w:rFonts w:hint="eastAsia" w:ascii="仿宋" w:hAnsi="Times New Roman" w:eastAsia="仿宋" w:cs="仿宋"/>
          <w:sz w:val="32"/>
          <w:szCs w:val="32"/>
        </w:rPr>
        <w:t>；公务用车购置及运行费支出决算</w:t>
      </w:r>
      <w:r>
        <w:rPr>
          <w:rFonts w:ascii="仿宋" w:hAnsi="Times New Roman" w:eastAsia="仿宋" w:cs="仿宋"/>
          <w:sz w:val="32"/>
          <w:szCs w:val="32"/>
        </w:rPr>
        <w:t>50.05</w:t>
      </w:r>
      <w:r>
        <w:rPr>
          <w:rFonts w:hint="eastAsia" w:ascii="仿宋" w:hAnsi="Times New Roman" w:eastAsia="仿宋" w:cs="仿宋"/>
          <w:sz w:val="32"/>
          <w:szCs w:val="32"/>
        </w:rPr>
        <w:t>万元，完成预算的</w:t>
      </w:r>
      <w:r>
        <w:rPr>
          <w:rFonts w:ascii="仿宋" w:hAnsi="Times New Roman" w:eastAsia="仿宋" w:cs="仿宋"/>
          <w:sz w:val="32"/>
          <w:szCs w:val="32"/>
        </w:rPr>
        <w:t>83.41%</w:t>
      </w:r>
      <w:r>
        <w:rPr>
          <w:rFonts w:hint="eastAsia" w:ascii="仿宋" w:hAnsi="Times New Roman" w:eastAsia="仿宋" w:cs="仿宋"/>
          <w:sz w:val="32"/>
          <w:szCs w:val="32"/>
        </w:rPr>
        <w:t>；公务接待费支出决算15.23万元（非一般公共预算财政拨款），完成预算的38.08</w:t>
      </w:r>
      <w:r>
        <w:rPr>
          <w:rFonts w:ascii="仿宋" w:hAnsi="Times New Roman" w:eastAsia="仿宋" w:cs="仿宋"/>
          <w:sz w:val="32"/>
          <w:szCs w:val="32"/>
        </w:rPr>
        <w:t>%</w:t>
      </w:r>
      <w:r>
        <w:rPr>
          <w:rFonts w:hint="eastAsia" w:ascii="仿宋" w:hAnsi="Times New Roman" w:eastAsia="仿宋" w:cs="仿宋"/>
          <w:sz w:val="32"/>
          <w:szCs w:val="32"/>
        </w:rPr>
        <w:t>。具体情况如下：</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1．因公出国（境）费支出0万元。全年安排厅（局）机关、0和0单位因公出国（境）团组0个，累计0人次。开支内容包括：</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出国会议支出0万元，主要用于参加以下国际会议：无等。</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出国谈判、工作磋商支出0万元，主要用于参加以下谈判和磋商：无等。</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境外业务培训支出支出0万元，主要用于为提高财政管理水平而举办的公共财政支出结构比较研究、社会保障政策、无等。</w:t>
      </w:r>
    </w:p>
    <w:p>
      <w:pPr>
        <w:autoSpaceDE w:val="0"/>
        <w:autoSpaceDN w:val="0"/>
        <w:adjustRightInd w:val="0"/>
        <w:ind w:firstLine="640"/>
        <w:rPr>
          <w:rFonts w:ascii="仿宋" w:hAnsi="Times New Roman" w:eastAsia="仿宋" w:cs="仿宋"/>
          <w:sz w:val="32"/>
          <w:szCs w:val="32"/>
        </w:rPr>
      </w:pPr>
      <w:r>
        <w:rPr>
          <w:rFonts w:hint="eastAsia" w:ascii="仿宋_GB2312" w:hAnsi="仿宋_GB2312" w:eastAsia="仿宋_GB2312" w:cs="仿宋_GB2312"/>
          <w:sz w:val="32"/>
          <w:szCs w:val="32"/>
        </w:rPr>
        <w:t>因公出国（境）费支出决算比2016年度增加（减少）0万元，增长（下降）0%,主要原因是无。</w:t>
      </w:r>
    </w:p>
    <w:p>
      <w:pPr>
        <w:autoSpaceDE w:val="0"/>
        <w:autoSpaceDN w:val="0"/>
        <w:adjustRightInd w:val="0"/>
        <w:ind w:firstLine="640"/>
        <w:jc w:val="left"/>
        <w:rPr>
          <w:rFonts w:ascii="仿宋" w:hAnsi="Times New Roman" w:eastAsia="仿宋" w:cs="仿宋"/>
          <w:sz w:val="32"/>
          <w:szCs w:val="32"/>
        </w:rPr>
      </w:pPr>
      <w:r>
        <w:rPr>
          <w:rFonts w:hint="eastAsia" w:ascii="仿宋" w:hAnsi="Times New Roman" w:eastAsia="仿宋" w:cs="仿宋"/>
          <w:sz w:val="32"/>
          <w:szCs w:val="32"/>
        </w:rPr>
        <w:t>2.公务用车购置及运行费支出</w:t>
      </w:r>
      <w:r>
        <w:rPr>
          <w:rFonts w:ascii="仿宋" w:hAnsi="Times New Roman" w:eastAsia="仿宋" w:cs="仿宋"/>
          <w:sz w:val="32"/>
          <w:szCs w:val="32"/>
        </w:rPr>
        <w:t>50.05</w:t>
      </w:r>
      <w:r>
        <w:rPr>
          <w:rFonts w:hint="eastAsia" w:ascii="仿宋" w:hAnsi="Times New Roman" w:eastAsia="仿宋" w:cs="仿宋"/>
          <w:sz w:val="32"/>
          <w:szCs w:val="32"/>
        </w:rPr>
        <w:t>万元。其中：</w:t>
      </w:r>
    </w:p>
    <w:p>
      <w:pPr>
        <w:autoSpaceDE w:val="0"/>
        <w:autoSpaceDN w:val="0"/>
        <w:adjustRightInd w:val="0"/>
        <w:ind w:firstLine="640"/>
        <w:jc w:val="left"/>
        <w:rPr>
          <w:rFonts w:ascii="仿宋" w:hAnsi="Times New Roman" w:eastAsia="仿宋" w:cs="仿宋"/>
          <w:sz w:val="32"/>
          <w:szCs w:val="32"/>
        </w:rPr>
      </w:pPr>
      <w:r>
        <w:rPr>
          <w:rFonts w:hint="eastAsia" w:ascii="仿宋" w:hAnsi="Times New Roman" w:eastAsia="仿宋" w:cs="仿宋"/>
          <w:sz w:val="32"/>
          <w:szCs w:val="32"/>
        </w:rPr>
        <w:t>公务用车购置支出为</w:t>
      </w:r>
      <w:r>
        <w:rPr>
          <w:rFonts w:ascii="仿宋" w:hAnsi="Times New Roman" w:eastAsia="仿宋" w:cs="仿宋"/>
          <w:sz w:val="32"/>
          <w:szCs w:val="32"/>
        </w:rPr>
        <w:t>0</w:t>
      </w:r>
      <w:r>
        <w:rPr>
          <w:rFonts w:hint="eastAsia" w:ascii="仿宋" w:hAnsi="Times New Roman" w:eastAsia="仿宋" w:cs="仿宋"/>
          <w:sz w:val="32"/>
          <w:szCs w:val="32"/>
        </w:rPr>
        <w:t>万元，购置车辆0台，为0车。</w:t>
      </w:r>
    </w:p>
    <w:p>
      <w:pPr>
        <w:autoSpaceDE w:val="0"/>
        <w:autoSpaceDN w:val="0"/>
        <w:adjustRightInd w:val="0"/>
        <w:ind w:firstLine="640"/>
        <w:jc w:val="left"/>
        <w:rPr>
          <w:rFonts w:ascii="仿宋" w:hAnsi="Times New Roman" w:eastAsia="仿宋" w:cs="仿宋"/>
          <w:sz w:val="32"/>
          <w:szCs w:val="32"/>
        </w:rPr>
      </w:pPr>
      <w:r>
        <w:rPr>
          <w:rFonts w:hint="eastAsia" w:ascii="仿宋" w:hAnsi="Times New Roman" w:eastAsia="仿宋" w:cs="仿宋"/>
          <w:sz w:val="32"/>
          <w:szCs w:val="32"/>
        </w:rPr>
        <w:t>公务用车运行支出</w:t>
      </w:r>
      <w:r>
        <w:rPr>
          <w:rFonts w:ascii="仿宋" w:hAnsi="Times New Roman" w:eastAsia="仿宋" w:cs="仿宋"/>
          <w:sz w:val="32"/>
          <w:szCs w:val="32"/>
        </w:rPr>
        <w:t>50.05</w:t>
      </w:r>
      <w:r>
        <w:rPr>
          <w:rFonts w:hint="eastAsia" w:ascii="仿宋" w:hAnsi="Times New Roman" w:eastAsia="仿宋" w:cs="仿宋"/>
          <w:sz w:val="32"/>
          <w:szCs w:val="32"/>
        </w:rPr>
        <w:t>万元。主要用于</w:t>
      </w:r>
      <w:r>
        <w:rPr>
          <w:rFonts w:hint="eastAsia" w:ascii="仿宋_GB2312" w:hAnsi="宋体" w:eastAsia="仿宋_GB2312" w:cs="Courier New"/>
          <w:sz w:val="32"/>
          <w:szCs w:val="32"/>
        </w:rPr>
        <w:t>汽油费、过路过桥费、车辆保险费、车辆维修费、行车安全奖励费等</w:t>
      </w:r>
      <w:r>
        <w:rPr>
          <w:rFonts w:hint="eastAsia" w:ascii="仿宋" w:hAnsi="Times New Roman" w:eastAsia="仿宋" w:cs="仿宋"/>
          <w:sz w:val="32"/>
          <w:szCs w:val="32"/>
        </w:rPr>
        <w:t>。</w:t>
      </w:r>
      <w:r>
        <w:rPr>
          <w:rFonts w:ascii="仿宋" w:hAnsi="Times New Roman" w:eastAsia="仿宋" w:cs="仿宋"/>
          <w:sz w:val="32"/>
          <w:szCs w:val="32"/>
        </w:rPr>
        <w:t>2017</w:t>
      </w:r>
      <w:r>
        <w:rPr>
          <w:rFonts w:hint="eastAsia" w:ascii="仿宋" w:hAnsi="Times New Roman" w:eastAsia="仿宋" w:cs="仿宋"/>
          <w:sz w:val="32"/>
          <w:szCs w:val="32"/>
        </w:rPr>
        <w:t>年期末，部门财政拨款公务用车保有量为</w:t>
      </w:r>
      <w:r>
        <w:rPr>
          <w:rFonts w:ascii="仿宋" w:hAnsi="Times New Roman" w:eastAsia="仿宋" w:cs="仿宋"/>
          <w:sz w:val="32"/>
          <w:szCs w:val="32"/>
        </w:rPr>
        <w:t>17</w:t>
      </w:r>
      <w:r>
        <w:rPr>
          <w:rFonts w:hint="eastAsia" w:ascii="仿宋" w:hAnsi="Times New Roman" w:eastAsia="仿宋" w:cs="仿宋"/>
          <w:sz w:val="32"/>
          <w:szCs w:val="32"/>
        </w:rPr>
        <w:t>辆。</w:t>
      </w:r>
    </w:p>
    <w:p>
      <w:pPr>
        <w:autoSpaceDE w:val="0"/>
        <w:autoSpaceDN w:val="0"/>
        <w:adjustRightInd w:val="0"/>
        <w:ind w:firstLine="640"/>
        <w:jc w:val="left"/>
        <w:rPr>
          <w:rFonts w:ascii="仿宋" w:hAnsi="Times New Roman" w:eastAsia="仿宋" w:cs="仿宋"/>
          <w:sz w:val="32"/>
          <w:szCs w:val="32"/>
        </w:rPr>
      </w:pPr>
      <w:r>
        <w:rPr>
          <w:rFonts w:hint="eastAsia" w:ascii="仿宋" w:hAnsi="Times New Roman" w:eastAsia="仿宋" w:cs="仿宋"/>
          <w:sz w:val="32"/>
          <w:szCs w:val="32"/>
        </w:rPr>
        <w:t>公务用车购置运行费支出决算比</w:t>
      </w:r>
      <w:r>
        <w:rPr>
          <w:rFonts w:ascii="仿宋" w:hAnsi="Times New Roman" w:eastAsia="仿宋" w:cs="仿宋"/>
          <w:sz w:val="32"/>
          <w:szCs w:val="32"/>
        </w:rPr>
        <w:t>2016</w:t>
      </w:r>
      <w:r>
        <w:rPr>
          <w:rFonts w:hint="eastAsia" w:ascii="仿宋" w:hAnsi="Times New Roman" w:eastAsia="仿宋" w:cs="仿宋"/>
          <w:sz w:val="32"/>
          <w:szCs w:val="32"/>
        </w:rPr>
        <w:t>年度增加0万元，增长</w:t>
      </w:r>
      <w:r>
        <w:rPr>
          <w:rFonts w:ascii="仿宋" w:hAnsi="Times New Roman" w:eastAsia="仿宋" w:cs="仿宋"/>
          <w:sz w:val="32"/>
          <w:szCs w:val="32"/>
        </w:rPr>
        <w:t>0%</w:t>
      </w:r>
      <w:r>
        <w:rPr>
          <w:rFonts w:hint="eastAsia" w:ascii="仿宋" w:hAnsi="Times New Roman" w:eastAsia="仿宋" w:cs="仿宋"/>
          <w:sz w:val="32"/>
          <w:szCs w:val="32"/>
        </w:rPr>
        <w:t>。</w:t>
      </w:r>
    </w:p>
    <w:p>
      <w:pPr>
        <w:autoSpaceDE w:val="0"/>
        <w:autoSpaceDN w:val="0"/>
        <w:adjustRightInd w:val="0"/>
        <w:ind w:firstLine="640" w:firstLineChars="200"/>
        <w:jc w:val="left"/>
        <w:rPr>
          <w:rFonts w:ascii="仿宋" w:hAnsi="Times New Roman" w:eastAsia="仿宋" w:cs="仿宋"/>
          <w:sz w:val="32"/>
          <w:szCs w:val="32"/>
        </w:rPr>
      </w:pPr>
      <w:r>
        <w:rPr>
          <w:rFonts w:hint="eastAsia" w:ascii="仿宋" w:hAnsi="Times New Roman" w:eastAsia="仿宋" w:cs="仿宋"/>
          <w:sz w:val="32"/>
          <w:szCs w:val="32"/>
        </w:rPr>
        <w:t>3.公务招待费预算为40万元</w:t>
      </w:r>
      <w:r>
        <w:rPr>
          <w:rFonts w:hint="eastAsia" w:ascii="楷体" w:hAnsi="Times New Roman" w:eastAsia="楷体" w:cs="楷体"/>
          <w:sz w:val="32"/>
          <w:szCs w:val="32"/>
        </w:rPr>
        <w:t>（非一般公共预算财政拨款支出）</w:t>
      </w:r>
      <w:r>
        <w:rPr>
          <w:rFonts w:hint="eastAsia" w:ascii="仿宋" w:hAnsi="Times New Roman" w:eastAsia="仿宋" w:cs="仿宋"/>
          <w:sz w:val="32"/>
          <w:szCs w:val="32"/>
        </w:rPr>
        <w:t>，支出决算为15.23万元，完成预算的38.08</w:t>
      </w:r>
      <w:r>
        <w:rPr>
          <w:rFonts w:ascii="仿宋" w:hAnsi="Times New Roman" w:eastAsia="仿宋" w:cs="仿宋"/>
          <w:sz w:val="32"/>
          <w:szCs w:val="32"/>
        </w:rPr>
        <w:t>%</w:t>
      </w:r>
      <w:r>
        <w:rPr>
          <w:rFonts w:hint="eastAsia" w:ascii="仿宋" w:hAnsi="Times New Roman" w:eastAsia="仿宋" w:cs="仿宋"/>
          <w:sz w:val="32"/>
          <w:szCs w:val="32"/>
        </w:rPr>
        <w:t>。</w:t>
      </w:r>
      <w:r>
        <w:rPr>
          <w:rFonts w:ascii="仿宋_GB2312" w:hAnsi="宋体" w:eastAsia="仿宋_GB2312" w:cs="Courier New"/>
          <w:sz w:val="32"/>
          <w:szCs w:val="32"/>
        </w:rPr>
        <w:t>201</w:t>
      </w:r>
      <w:r>
        <w:rPr>
          <w:rFonts w:hint="eastAsia" w:ascii="仿宋_GB2312" w:hAnsi="宋体" w:eastAsia="仿宋_GB2312" w:cs="Courier New"/>
          <w:sz w:val="32"/>
          <w:szCs w:val="32"/>
        </w:rPr>
        <w:t>7年度“三公”经费支出决算数小于预算数的主要原因是严格执行中央八项规定，严肃财经纪律，厉行节约，反对浪费，大力压缩公务招待费用。</w:t>
      </w:r>
    </w:p>
    <w:p>
      <w:pPr>
        <w:autoSpaceDE w:val="0"/>
        <w:autoSpaceDN w:val="0"/>
        <w:adjustRightInd w:val="0"/>
        <w:ind w:firstLine="800" w:firstLineChars="250"/>
        <w:jc w:val="left"/>
        <w:rPr>
          <w:rFonts w:ascii="楷体" w:hAnsi="Times New Roman" w:eastAsia="楷体" w:cs="楷体"/>
          <w:sz w:val="32"/>
          <w:szCs w:val="32"/>
        </w:rPr>
      </w:pPr>
      <w:r>
        <w:rPr>
          <w:rFonts w:hint="eastAsia" w:ascii="仿宋" w:hAnsi="Times New Roman" w:eastAsia="仿宋" w:cs="仿宋"/>
          <w:sz w:val="32"/>
          <w:szCs w:val="32"/>
        </w:rPr>
        <w:t>2017年公务招待费支出决算数比</w:t>
      </w:r>
      <w:r>
        <w:rPr>
          <w:rFonts w:ascii="仿宋" w:hAnsi="Times New Roman" w:eastAsia="仿宋" w:cs="仿宋"/>
          <w:sz w:val="32"/>
          <w:szCs w:val="32"/>
        </w:rPr>
        <w:t>2016</w:t>
      </w:r>
      <w:r>
        <w:rPr>
          <w:rFonts w:hint="eastAsia" w:ascii="仿宋" w:hAnsi="Times New Roman" w:eastAsia="仿宋" w:cs="仿宋"/>
          <w:sz w:val="32"/>
          <w:szCs w:val="32"/>
        </w:rPr>
        <w:t>年度</w:t>
      </w:r>
      <w:r>
        <w:rPr>
          <w:rFonts w:hint="eastAsia" w:hAnsi="宋体" w:eastAsia="仿宋_GB2312" w:cs="Courier New"/>
          <w:sz w:val="32"/>
        </w:rPr>
        <w:t>减少</w:t>
      </w:r>
      <w:r>
        <w:rPr>
          <w:rFonts w:hint="eastAsia" w:ascii="仿宋" w:hAnsi="Times New Roman" w:eastAsia="仿宋" w:cs="仿宋"/>
          <w:sz w:val="32"/>
          <w:szCs w:val="32"/>
        </w:rPr>
        <w:t>3.34万元，下降17.99</w:t>
      </w:r>
      <w:r>
        <w:rPr>
          <w:rFonts w:ascii="仿宋" w:hAnsi="Times New Roman" w:eastAsia="仿宋" w:cs="仿宋"/>
          <w:sz w:val="32"/>
          <w:szCs w:val="32"/>
        </w:rPr>
        <w:t>%</w:t>
      </w:r>
      <w:r>
        <w:rPr>
          <w:rFonts w:hint="eastAsia" w:hAnsi="宋体" w:eastAsia="仿宋_GB2312" w:cs="Courier New"/>
          <w:sz w:val="32"/>
        </w:rPr>
        <w:t>。</w:t>
      </w:r>
      <w:r>
        <w:rPr>
          <w:rFonts w:ascii="仿宋" w:hAnsi="Times New Roman" w:eastAsia="仿宋" w:cs="仿宋"/>
          <w:sz w:val="32"/>
          <w:szCs w:val="32"/>
        </w:rPr>
        <w:t xml:space="preserve"> </w:t>
      </w:r>
      <w:r>
        <w:rPr>
          <w:rFonts w:hint="eastAsia" w:ascii="仿宋" w:hAnsi="Times New Roman" w:eastAsia="仿宋" w:cs="仿宋"/>
          <w:sz w:val="32"/>
          <w:szCs w:val="32"/>
        </w:rPr>
        <w:t>公务接待费支出</w:t>
      </w:r>
      <w:r>
        <w:rPr>
          <w:rFonts w:hint="eastAsia" w:hAnsi="宋体" w:eastAsia="仿宋_GB2312" w:cs="Courier New"/>
          <w:sz w:val="32"/>
        </w:rPr>
        <w:t>减少</w:t>
      </w:r>
      <w:r>
        <w:rPr>
          <w:rFonts w:hint="eastAsia" w:ascii="仿宋" w:hAnsi="Times New Roman" w:eastAsia="仿宋" w:cs="仿宋"/>
          <w:sz w:val="32"/>
          <w:szCs w:val="32"/>
        </w:rPr>
        <w:t>主要原因是贯彻落实中央“八项规定”精神和厉行节约要求，进一步从严控制公务接待费支出经费开支。</w:t>
      </w:r>
      <w:r>
        <w:rPr>
          <w:rFonts w:hint="eastAsia" w:hAnsi="宋体" w:eastAsia="仿宋_GB2312" w:cs="Courier New"/>
          <w:sz w:val="32"/>
        </w:rPr>
        <w:t>用于按规定开支的各类公务接待（含外宾接待）支出，2017年共接待65批次，320人次。</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八、关于预算绩效情况说明</w:t>
      </w:r>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（一）绩效管理工作开展情况。</w:t>
      </w:r>
    </w:p>
    <w:p>
      <w:pPr>
        <w:autoSpaceDE w:val="0"/>
        <w:autoSpaceDN w:val="0"/>
        <w:adjustRightInd w:val="0"/>
        <w:ind w:firstLine="640"/>
        <w:jc w:val="left"/>
        <w:rPr>
          <w:rFonts w:ascii="仿宋" w:hAnsi="Times New Roman" w:eastAsia="仿宋" w:cs="仿宋"/>
          <w:sz w:val="32"/>
          <w:szCs w:val="32"/>
        </w:rPr>
      </w:pPr>
      <w:r>
        <w:rPr>
          <w:rFonts w:hint="eastAsia" w:ascii="仿宋" w:hAnsi="Times New Roman" w:eastAsia="仿宋" w:cs="仿宋"/>
          <w:sz w:val="32"/>
          <w:szCs w:val="32"/>
        </w:rPr>
        <w:t>2017年是学院“二五”规划的开局之年，是接续奋斗、开拓进取的一年，也是办学质量持续提升、整体实力不断增强的一年。学院于2017年深入学习贯彻全国高校思想政治工作会议精神，提高学院思想政治建设。不断加强学院专业建设，提高教学质量。在学生工作中，针对学生的思想教育、心理辅导、资助工作和安全教育等方面，坚持以服务为宗旨，以思想教育为核心，以管理为基础，以活动为载体，以学工队伍建设为重点，全面推进学生工作。</w:t>
      </w:r>
    </w:p>
    <w:p>
      <w:pPr>
        <w:autoSpaceDE w:val="0"/>
        <w:autoSpaceDN w:val="0"/>
        <w:adjustRightInd w:val="0"/>
        <w:ind w:firstLine="640"/>
        <w:jc w:val="left"/>
        <w:rPr>
          <w:rFonts w:ascii="仿宋" w:hAnsi="Times New Roman" w:eastAsia="仿宋" w:cs="仿宋"/>
          <w:sz w:val="32"/>
          <w:szCs w:val="32"/>
        </w:rPr>
      </w:pPr>
      <w:r>
        <w:rPr>
          <w:rFonts w:hint="eastAsia" w:ascii="楷体" w:hAnsi="Times New Roman" w:eastAsia="楷体" w:cs="楷体"/>
          <w:sz w:val="32"/>
          <w:szCs w:val="32"/>
        </w:rPr>
        <w:t>（二）项目绩效自评结果</w:t>
      </w:r>
      <w:r>
        <w:rPr>
          <w:rFonts w:hint="eastAsia" w:ascii="仿宋" w:hAnsi="Times New Roman" w:eastAsia="仿宋" w:cs="仿宋"/>
          <w:sz w:val="32"/>
          <w:szCs w:val="32"/>
        </w:rPr>
        <w:t>。</w:t>
      </w:r>
    </w:p>
    <w:p>
      <w:pPr>
        <w:spacing w:line="58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我院实施绩效考核工作遵循以下原则：</w:t>
      </w:r>
    </w:p>
    <w:p>
      <w:pPr>
        <w:spacing w:line="58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坚持尊重规律、以人为本原则。尊重高校教育规律，尊重教职工的主体地位，充分体现教书育人、管理育人、服务育人的特点。</w:t>
      </w:r>
    </w:p>
    <w:p>
      <w:pPr>
        <w:spacing w:line="58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坚持以德为先，注重实绩原则。完善绩效考核内容，把师德放在首位，注重教师履行岗位职责的实际表现和贡献。</w:t>
      </w:r>
    </w:p>
    <w:p>
      <w:pPr>
        <w:spacing w:line="58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坚持激励先进、促进发展原则。鼓励教职工全身心投入到教书育人、管理育人、服务育人的工作中，引导教职工不断提高自身素质和能力。</w:t>
      </w:r>
    </w:p>
    <w:p>
      <w:pPr>
        <w:spacing w:line="60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坚持客观公正、考核细化原则。教职工绩效考核工作要坚持实事求是、民主公开、科学合理、考核量化、细化扣分。</w:t>
      </w:r>
    </w:p>
    <w:p>
      <w:pPr>
        <w:spacing w:line="600" w:lineRule="exact"/>
        <w:ind w:firstLine="640" w:firstLineChars="200"/>
        <w:rPr>
          <w:rFonts w:ascii="仿宋" w:hAnsi="Times New Roman" w:eastAsia="仿宋" w:cs="仿宋"/>
          <w:sz w:val="32"/>
          <w:szCs w:val="32"/>
        </w:rPr>
      </w:pPr>
      <w:r>
        <w:rPr>
          <w:rFonts w:hint="eastAsia" w:ascii="仿宋" w:hAnsi="Times New Roman" w:eastAsia="仿宋" w:cs="仿宋"/>
          <w:sz w:val="32"/>
          <w:szCs w:val="32"/>
        </w:rPr>
        <w:t>2017年教职工绩效考核以来，提高了教职工队伍特别是教师队伍整体素质，着力构建符合高职教育教学和管理规律的教职工绩效考核评价制度，促进教职工全面发展，调动广大教职工工作的积极性、主动性和创造性，促进我院各项工作再上新台阶。</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九、关于政府性基金预算财政拨款支出决算情况说明</w:t>
      </w:r>
    </w:p>
    <w:p>
      <w:pPr>
        <w:autoSpaceDE w:val="0"/>
        <w:autoSpaceDN w:val="0"/>
        <w:adjustRightInd w:val="0"/>
        <w:ind w:firstLine="640"/>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年度政府性基金预算财政拨款支出年初预算为</w:t>
      </w:r>
      <w:r>
        <w:rPr>
          <w:rFonts w:ascii="仿宋" w:hAnsi="Times New Roman" w:eastAsia="仿宋" w:cs="仿宋"/>
          <w:sz w:val="32"/>
          <w:szCs w:val="32"/>
        </w:rPr>
        <w:t>0</w:t>
      </w:r>
      <w:r>
        <w:rPr>
          <w:rFonts w:hint="eastAsia" w:ascii="仿宋" w:hAnsi="Times New Roman" w:eastAsia="仿宋" w:cs="仿宋"/>
          <w:sz w:val="32"/>
          <w:szCs w:val="32"/>
        </w:rPr>
        <w:t>万元，支出决算为</w:t>
      </w:r>
      <w:r>
        <w:rPr>
          <w:rFonts w:ascii="仿宋" w:hAnsi="Times New Roman" w:eastAsia="仿宋" w:cs="仿宋"/>
          <w:sz w:val="32"/>
          <w:szCs w:val="32"/>
        </w:rPr>
        <w:t>0</w:t>
      </w:r>
      <w:r>
        <w:rPr>
          <w:rFonts w:hint="eastAsia" w:ascii="仿宋" w:hAnsi="Times New Roman" w:eastAsia="仿宋" w:cs="仿宋"/>
          <w:sz w:val="32"/>
          <w:szCs w:val="32"/>
        </w:rPr>
        <w:t>万元，完成年初预算的</w:t>
      </w:r>
      <w:r>
        <w:rPr>
          <w:rFonts w:ascii="仿宋" w:hAnsi="Times New Roman" w:eastAsia="仿宋" w:cs="仿宋"/>
          <w:sz w:val="32"/>
          <w:szCs w:val="32"/>
        </w:rPr>
        <w:t>0%</w:t>
      </w:r>
      <w:r>
        <w:rPr>
          <w:rFonts w:hint="eastAsia" w:ascii="仿宋" w:hAnsi="Times New Roman" w:eastAsia="仿宋" w:cs="仿宋"/>
          <w:sz w:val="32"/>
          <w:szCs w:val="32"/>
        </w:rPr>
        <w:t>。</w:t>
      </w:r>
    </w:p>
    <w:p>
      <w:pPr>
        <w:autoSpaceDE w:val="0"/>
        <w:autoSpaceDN w:val="0"/>
        <w:adjustRightInd w:val="0"/>
        <w:ind w:firstLine="640"/>
        <w:rPr>
          <w:rFonts w:ascii="仿宋" w:hAnsi="Times New Roman" w:eastAsia="仿宋" w:cs="仿宋"/>
          <w:sz w:val="32"/>
          <w:szCs w:val="32"/>
        </w:rPr>
      </w:pPr>
      <w:r>
        <w:rPr>
          <w:rFonts w:hint="eastAsia" w:ascii="仿宋" w:hAnsi="Times New Roman" w:eastAsia="仿宋" w:cs="仿宋"/>
          <w:sz w:val="32"/>
          <w:szCs w:val="32"/>
        </w:rPr>
        <w:t>其他有关说明内容：无。</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十、机关运行经费支出情况说明</w:t>
      </w:r>
    </w:p>
    <w:p>
      <w:pPr>
        <w:autoSpaceDE w:val="0"/>
        <w:autoSpaceDN w:val="0"/>
        <w:adjustRightInd w:val="0"/>
        <w:ind w:firstLine="640"/>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年度机关运行经费支出</w:t>
      </w:r>
      <w:r>
        <w:rPr>
          <w:rFonts w:ascii="仿宋" w:hAnsi="Times New Roman" w:eastAsia="仿宋" w:cs="仿宋"/>
          <w:sz w:val="32"/>
          <w:szCs w:val="32"/>
        </w:rPr>
        <w:t>0</w:t>
      </w:r>
      <w:r>
        <w:rPr>
          <w:rFonts w:hint="eastAsia" w:ascii="仿宋" w:hAnsi="Times New Roman" w:eastAsia="仿宋" w:cs="仿宋"/>
          <w:sz w:val="32"/>
          <w:szCs w:val="32"/>
        </w:rPr>
        <w:t>万元，较</w:t>
      </w:r>
      <w:r>
        <w:rPr>
          <w:rFonts w:ascii="仿宋" w:hAnsi="Times New Roman" w:eastAsia="仿宋" w:cs="仿宋"/>
          <w:sz w:val="32"/>
          <w:szCs w:val="32"/>
        </w:rPr>
        <w:t>2016</w:t>
      </w:r>
      <w:r>
        <w:rPr>
          <w:rFonts w:hint="eastAsia" w:ascii="仿宋" w:hAnsi="Times New Roman" w:eastAsia="仿宋" w:cs="仿宋"/>
          <w:sz w:val="32"/>
          <w:szCs w:val="32"/>
        </w:rPr>
        <w:t>年度增加</w:t>
      </w:r>
      <w:r>
        <w:rPr>
          <w:rFonts w:ascii="仿宋" w:hAnsi="Times New Roman" w:eastAsia="仿宋" w:cs="仿宋"/>
          <w:sz w:val="32"/>
          <w:szCs w:val="32"/>
        </w:rPr>
        <w:t>0</w:t>
      </w:r>
      <w:r>
        <w:rPr>
          <w:rFonts w:hint="eastAsia" w:ascii="仿宋" w:hAnsi="Times New Roman" w:eastAsia="仿宋" w:cs="仿宋"/>
          <w:sz w:val="32"/>
          <w:szCs w:val="32"/>
        </w:rPr>
        <w:t>万元，增长</w:t>
      </w:r>
      <w:r>
        <w:rPr>
          <w:rFonts w:ascii="仿宋" w:hAnsi="Times New Roman" w:eastAsia="仿宋" w:cs="仿宋"/>
          <w:sz w:val="32"/>
          <w:szCs w:val="32"/>
        </w:rPr>
        <w:t>0%</w:t>
      </w:r>
      <w:r>
        <w:rPr>
          <w:rFonts w:hint="eastAsia" w:ascii="仿宋" w:hAnsi="Times New Roman" w:eastAsia="仿宋" w:cs="仿宋"/>
          <w:sz w:val="32"/>
          <w:szCs w:val="32"/>
        </w:rPr>
        <w:t>。</w:t>
      </w:r>
    </w:p>
    <w:p>
      <w:pPr>
        <w:autoSpaceDE w:val="0"/>
        <w:autoSpaceDN w:val="0"/>
        <w:adjustRightInd w:val="0"/>
        <w:ind w:firstLine="640"/>
        <w:rPr>
          <w:rFonts w:ascii="仿宋" w:hAnsi="Times New Roman" w:eastAsia="仿宋" w:cs="仿宋"/>
          <w:sz w:val="32"/>
          <w:szCs w:val="32"/>
        </w:rPr>
      </w:pPr>
      <w:r>
        <w:rPr>
          <w:rFonts w:hint="eastAsia" w:ascii="仿宋" w:hAnsi="Times New Roman" w:eastAsia="仿宋" w:cs="仿宋"/>
          <w:sz w:val="32"/>
          <w:szCs w:val="32"/>
        </w:rPr>
        <w:t>其他有关说明内容：无。</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十一、政府采购支出情况说明</w:t>
      </w:r>
    </w:p>
    <w:p>
      <w:pPr>
        <w:autoSpaceDE w:val="0"/>
        <w:autoSpaceDN w:val="0"/>
        <w:adjustRightInd w:val="0"/>
        <w:ind w:firstLine="640"/>
        <w:rPr>
          <w:rFonts w:hint="eastAsia" w:ascii="仿宋" w:hAnsi="Times New Roman" w:eastAsia="仿宋" w:cs="仿宋"/>
          <w:sz w:val="32"/>
          <w:szCs w:val="32"/>
        </w:rPr>
      </w:pPr>
      <w:r>
        <w:rPr>
          <w:rFonts w:ascii="仿宋" w:hAnsi="Times New Roman" w:eastAsia="仿宋" w:cs="仿宋"/>
          <w:sz w:val="32"/>
          <w:szCs w:val="32"/>
        </w:rPr>
        <w:t>2017</w:t>
      </w:r>
      <w:r>
        <w:rPr>
          <w:rFonts w:hint="eastAsia" w:ascii="仿宋" w:hAnsi="Times New Roman" w:eastAsia="仿宋" w:cs="仿宋"/>
          <w:sz w:val="32"/>
          <w:szCs w:val="32"/>
        </w:rPr>
        <w:t>年度政府采购支出总额</w:t>
      </w:r>
      <w:r>
        <w:rPr>
          <w:rFonts w:ascii="仿宋" w:hAnsi="Times New Roman" w:eastAsia="仿宋" w:cs="仿宋"/>
          <w:sz w:val="32"/>
          <w:szCs w:val="32"/>
        </w:rPr>
        <w:t>736.33</w:t>
      </w:r>
      <w:r>
        <w:rPr>
          <w:rFonts w:hint="eastAsia" w:ascii="仿宋" w:hAnsi="Times New Roman" w:eastAsia="仿宋" w:cs="仿宋"/>
          <w:sz w:val="32"/>
          <w:szCs w:val="32"/>
        </w:rPr>
        <w:t>万元，其中：政府采购货物支出</w:t>
      </w:r>
      <w:r>
        <w:rPr>
          <w:rFonts w:ascii="仿宋" w:hAnsi="Times New Roman" w:eastAsia="仿宋" w:cs="仿宋"/>
          <w:sz w:val="32"/>
          <w:szCs w:val="32"/>
        </w:rPr>
        <w:t>736.33</w:t>
      </w:r>
      <w:r>
        <w:rPr>
          <w:rFonts w:hint="eastAsia" w:ascii="仿宋" w:hAnsi="Times New Roman" w:eastAsia="仿宋" w:cs="仿宋"/>
          <w:sz w:val="32"/>
          <w:szCs w:val="32"/>
        </w:rPr>
        <w:t>万元，政府采购工程支出</w:t>
      </w:r>
      <w:r>
        <w:rPr>
          <w:rFonts w:ascii="仿宋" w:hAnsi="Times New Roman" w:eastAsia="仿宋" w:cs="仿宋"/>
          <w:sz w:val="32"/>
          <w:szCs w:val="32"/>
        </w:rPr>
        <w:t>0</w:t>
      </w:r>
      <w:r>
        <w:rPr>
          <w:rFonts w:hint="eastAsia" w:ascii="仿宋" w:hAnsi="Times New Roman" w:eastAsia="仿宋" w:cs="仿宋"/>
          <w:sz w:val="32"/>
          <w:szCs w:val="32"/>
        </w:rPr>
        <w:t>万元，政府采购服务支出</w:t>
      </w:r>
      <w:r>
        <w:rPr>
          <w:rFonts w:ascii="仿宋" w:hAnsi="Times New Roman" w:eastAsia="仿宋" w:cs="仿宋"/>
          <w:sz w:val="32"/>
          <w:szCs w:val="32"/>
        </w:rPr>
        <w:t>0</w:t>
      </w:r>
      <w:r>
        <w:rPr>
          <w:rFonts w:hint="eastAsia" w:ascii="仿宋" w:hAnsi="Times New Roman" w:eastAsia="仿宋" w:cs="仿宋"/>
          <w:sz w:val="32"/>
          <w:szCs w:val="32"/>
        </w:rPr>
        <w:t>万元。</w:t>
      </w:r>
    </w:p>
    <w:p>
      <w:pPr>
        <w:autoSpaceDE w:val="0"/>
        <w:autoSpaceDN w:val="0"/>
        <w:adjustRightInd w:val="0"/>
        <w:ind w:firstLine="640"/>
        <w:rPr>
          <w:rFonts w:ascii="仿宋" w:hAnsi="Times New Roman" w:eastAsia="仿宋" w:cs="仿宋"/>
          <w:sz w:val="32"/>
          <w:szCs w:val="32"/>
        </w:rPr>
      </w:pPr>
      <w:r>
        <w:rPr>
          <w:rFonts w:hint="eastAsia" w:ascii="仿宋" w:hAnsi="Times New Roman" w:eastAsia="仿宋" w:cs="仿宋"/>
          <w:sz w:val="32"/>
          <w:szCs w:val="32"/>
        </w:rPr>
        <w:t>其他有关说明内容：无。</w:t>
      </w:r>
    </w:p>
    <w:p>
      <w:pPr>
        <w:autoSpaceDE w:val="0"/>
        <w:autoSpaceDN w:val="0"/>
        <w:adjustRightInd w:val="0"/>
        <w:ind w:firstLine="640"/>
        <w:jc w:val="left"/>
        <w:rPr>
          <w:rFonts w:ascii="仿宋" w:hAnsi="Times New Roman" w:eastAsia="仿宋" w:cs="仿宋"/>
          <w:sz w:val="32"/>
          <w:szCs w:val="32"/>
        </w:rPr>
      </w:pPr>
      <w:r>
        <w:rPr>
          <w:rFonts w:hint="eastAsia" w:ascii="黑体" w:hAnsi="Times New Roman" w:eastAsia="黑体" w:cs="黑体"/>
          <w:sz w:val="32"/>
          <w:szCs w:val="32"/>
        </w:rPr>
        <w:t>十二、国有资产占用情况说明</w:t>
      </w:r>
    </w:p>
    <w:p>
      <w:pPr>
        <w:autoSpaceDE w:val="0"/>
        <w:autoSpaceDN w:val="0"/>
        <w:adjustRightInd w:val="0"/>
        <w:jc w:val="left"/>
        <w:rPr>
          <w:rFonts w:hint="eastAsia" w:ascii="仿宋" w:hAnsi="Times New Roman" w:eastAsia="仿宋" w:cs="仿宋"/>
          <w:sz w:val="32"/>
          <w:szCs w:val="32"/>
        </w:rPr>
      </w:pPr>
      <w:r>
        <w:rPr>
          <w:rFonts w:ascii="仿宋" w:hAnsi="Times New Roman" w:eastAsia="仿宋" w:cs="仿宋"/>
          <w:sz w:val="32"/>
          <w:szCs w:val="32"/>
        </w:rPr>
        <w:t xml:space="preserve">    2017</w:t>
      </w:r>
      <w:r>
        <w:rPr>
          <w:rFonts w:hint="eastAsia" w:ascii="仿宋" w:hAnsi="Times New Roman" w:eastAsia="仿宋" w:cs="仿宋"/>
          <w:sz w:val="32"/>
          <w:szCs w:val="32"/>
        </w:rPr>
        <w:t>年期末，河南省开封文化艺术职业学院（本级）共有车辆</w:t>
      </w:r>
      <w:r>
        <w:rPr>
          <w:rFonts w:ascii="仿宋" w:hAnsi="Times New Roman" w:eastAsia="仿宋" w:cs="仿宋"/>
          <w:sz w:val="32"/>
          <w:szCs w:val="32"/>
        </w:rPr>
        <w:t>17</w:t>
      </w:r>
      <w:r>
        <w:rPr>
          <w:rFonts w:hint="eastAsia" w:ascii="仿宋" w:hAnsi="Times New Roman" w:eastAsia="仿宋" w:cs="仿宋"/>
          <w:sz w:val="32"/>
          <w:szCs w:val="32"/>
        </w:rPr>
        <w:t>辆，其中：一般公务用车</w:t>
      </w:r>
      <w:r>
        <w:rPr>
          <w:rFonts w:ascii="仿宋" w:hAnsi="Times New Roman" w:eastAsia="仿宋" w:cs="仿宋"/>
          <w:sz w:val="32"/>
          <w:szCs w:val="32"/>
        </w:rPr>
        <w:t>17</w:t>
      </w:r>
      <w:r>
        <w:rPr>
          <w:rFonts w:hint="eastAsia" w:ascii="仿宋" w:hAnsi="Times New Roman" w:eastAsia="仿宋" w:cs="仿宋"/>
          <w:sz w:val="32"/>
          <w:szCs w:val="32"/>
        </w:rPr>
        <w:t>辆、一般执法执勤用车</w:t>
      </w:r>
      <w:r>
        <w:rPr>
          <w:rFonts w:ascii="仿宋" w:hAnsi="Times New Roman" w:eastAsia="仿宋" w:cs="仿宋"/>
          <w:sz w:val="32"/>
          <w:szCs w:val="32"/>
        </w:rPr>
        <w:t>0</w:t>
      </w:r>
      <w:r>
        <w:rPr>
          <w:rFonts w:hint="eastAsia" w:ascii="仿宋" w:hAnsi="Times New Roman" w:eastAsia="仿宋" w:cs="仿宋"/>
          <w:sz w:val="32"/>
          <w:szCs w:val="32"/>
        </w:rPr>
        <w:t>辆、特种专业技术用车</w:t>
      </w:r>
      <w:r>
        <w:rPr>
          <w:rFonts w:ascii="仿宋" w:hAnsi="Times New Roman" w:eastAsia="仿宋" w:cs="仿宋"/>
          <w:sz w:val="32"/>
          <w:szCs w:val="32"/>
        </w:rPr>
        <w:t>0</w:t>
      </w:r>
      <w:r>
        <w:rPr>
          <w:rFonts w:hint="eastAsia" w:ascii="仿宋" w:hAnsi="Times New Roman" w:eastAsia="仿宋" w:cs="仿宋"/>
          <w:sz w:val="32"/>
          <w:szCs w:val="32"/>
        </w:rPr>
        <w:t>辆，其他用车</w:t>
      </w:r>
      <w:r>
        <w:rPr>
          <w:rFonts w:ascii="仿宋" w:hAnsi="Times New Roman" w:eastAsia="仿宋" w:cs="仿宋"/>
          <w:sz w:val="32"/>
          <w:szCs w:val="32"/>
        </w:rPr>
        <w:t>0</w:t>
      </w:r>
      <w:r>
        <w:rPr>
          <w:rFonts w:hint="eastAsia" w:ascii="仿宋" w:hAnsi="Times New Roman" w:eastAsia="仿宋" w:cs="仿宋"/>
          <w:sz w:val="32"/>
          <w:szCs w:val="32"/>
        </w:rPr>
        <w:t>辆；单位价值</w:t>
      </w:r>
      <w:r>
        <w:rPr>
          <w:rFonts w:ascii="仿宋" w:hAnsi="Times New Roman" w:eastAsia="仿宋" w:cs="仿宋"/>
          <w:sz w:val="32"/>
          <w:szCs w:val="32"/>
        </w:rPr>
        <w:t>50</w:t>
      </w:r>
      <w:r>
        <w:rPr>
          <w:rFonts w:hint="eastAsia" w:ascii="仿宋" w:hAnsi="Times New Roman" w:eastAsia="仿宋" w:cs="仿宋"/>
          <w:sz w:val="32"/>
          <w:szCs w:val="32"/>
        </w:rPr>
        <w:t>万元以上通用设备</w:t>
      </w:r>
      <w:r>
        <w:rPr>
          <w:rFonts w:ascii="仿宋" w:hAnsi="Times New Roman" w:eastAsia="仿宋" w:cs="仿宋"/>
          <w:sz w:val="32"/>
          <w:szCs w:val="32"/>
        </w:rPr>
        <w:t>0</w:t>
      </w:r>
      <w:r>
        <w:rPr>
          <w:rFonts w:hint="eastAsia" w:ascii="仿宋" w:hAnsi="Times New Roman" w:eastAsia="仿宋" w:cs="仿宋"/>
          <w:sz w:val="32"/>
          <w:szCs w:val="32"/>
        </w:rPr>
        <w:t>台（套），单位价值</w:t>
      </w:r>
      <w:r>
        <w:rPr>
          <w:rFonts w:ascii="仿宋" w:hAnsi="Times New Roman" w:eastAsia="仿宋" w:cs="仿宋"/>
          <w:sz w:val="32"/>
          <w:szCs w:val="32"/>
        </w:rPr>
        <w:t>100</w:t>
      </w:r>
      <w:r>
        <w:rPr>
          <w:rFonts w:hint="eastAsia" w:ascii="仿宋" w:hAnsi="Times New Roman" w:eastAsia="仿宋" w:cs="仿宋"/>
          <w:sz w:val="32"/>
          <w:szCs w:val="32"/>
        </w:rPr>
        <w:t>万元以上专用设备</w:t>
      </w:r>
      <w:r>
        <w:rPr>
          <w:rFonts w:ascii="仿宋" w:hAnsi="Times New Roman" w:eastAsia="仿宋" w:cs="仿宋"/>
          <w:sz w:val="32"/>
          <w:szCs w:val="32"/>
        </w:rPr>
        <w:t>0</w:t>
      </w:r>
      <w:r>
        <w:rPr>
          <w:rFonts w:hint="eastAsia" w:ascii="仿宋" w:hAnsi="Times New Roman" w:eastAsia="仿宋" w:cs="仿宋"/>
          <w:sz w:val="32"/>
          <w:szCs w:val="32"/>
        </w:rPr>
        <w:t>台（套）。</w:t>
      </w:r>
    </w:p>
    <w:p>
      <w:pPr>
        <w:autoSpaceDE w:val="0"/>
        <w:autoSpaceDN w:val="0"/>
        <w:adjustRightInd w:val="0"/>
        <w:jc w:val="left"/>
        <w:rPr>
          <w:rFonts w:ascii="仿宋" w:hAnsi="Times New Roman" w:eastAsia="仿宋" w:cs="仿宋"/>
          <w:sz w:val="32"/>
          <w:szCs w:val="32"/>
        </w:rPr>
      </w:pPr>
      <w:r>
        <w:rPr>
          <w:rFonts w:hint="eastAsia" w:ascii="仿宋" w:hAnsi="Times New Roman" w:eastAsia="仿宋" w:cs="仿宋"/>
          <w:sz w:val="32"/>
          <w:szCs w:val="32"/>
        </w:rPr>
        <w:t xml:space="preserve">    其他有关说明内容：无。</w:t>
      </w:r>
    </w:p>
    <w:p>
      <w:pPr>
        <w:autoSpaceDE w:val="0"/>
        <w:autoSpaceDN w:val="0"/>
        <w:adjustRightInd w:val="0"/>
        <w:jc w:val="left"/>
        <w:rPr>
          <w:rFonts w:ascii="仿宋" w:hAnsi="Times New Roman" w:eastAsia="仿宋" w:cs="仿宋"/>
          <w:sz w:val="32"/>
          <w:szCs w:val="32"/>
        </w:rPr>
      </w:pPr>
      <w:r>
        <w:rPr>
          <w:rFonts w:ascii="仿宋" w:hAnsi="Times New Roman" w:eastAsia="仿宋" w:cs="仿宋"/>
          <w:sz w:val="32"/>
          <w:szCs w:val="32"/>
        </w:rPr>
        <w:t xml:space="preserve">    </w:t>
      </w:r>
      <w:r>
        <w:rPr>
          <w:rFonts w:hint="eastAsia" w:ascii="黑体" w:hAnsi="Times New Roman" w:eastAsia="黑体" w:cs="黑体"/>
          <w:sz w:val="32"/>
          <w:szCs w:val="32"/>
        </w:rPr>
        <w:t>十三、其他重要事项的情况说明</w:t>
      </w:r>
    </w:p>
    <w:p>
      <w:pPr>
        <w:autoSpaceDE w:val="0"/>
        <w:autoSpaceDN w:val="0"/>
        <w:adjustRightInd w:val="0"/>
        <w:jc w:val="left"/>
        <w:rPr>
          <w:rFonts w:ascii="Times New Roman" w:hAnsi="Times New Roman" w:eastAsia="仿宋"/>
          <w:sz w:val="52"/>
          <w:szCs w:val="52"/>
        </w:rPr>
      </w:pPr>
      <w:r>
        <w:rPr>
          <w:rFonts w:ascii="仿宋" w:hAnsi="Times New Roman" w:eastAsia="仿宋" w:cs="仿宋"/>
          <w:sz w:val="32"/>
          <w:szCs w:val="32"/>
        </w:rPr>
        <w:t xml:space="preserve">    无</w:t>
      </w: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rPr>
          <w:rFonts w:ascii="隶书" w:hAnsi="隶书" w:eastAsia="隶书" w:cs="隶书"/>
          <w:sz w:val="48"/>
          <w:szCs w:val="48"/>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0" w:num="1"/>
          <w:docGrid w:type="lines" w:linePitch="317" w:charSpace="0"/>
        </w:sectPr>
      </w:pPr>
      <w:r>
        <w:rPr>
          <w:rFonts w:hint="eastAsia" w:ascii="隶书" w:hAnsi="隶书" w:eastAsia="隶书" w:cs="隶书"/>
          <w:sz w:val="48"/>
          <w:szCs w:val="48"/>
        </w:rPr>
        <w:t>第四部分　　名词解释</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一、财政拨款收入：指单位本年度从财政部门取得的财政拨款。</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二、上级补助收入：指事业单位从主管部门和上级单位取得的非财政补助收入。</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三、事业收入：指事业单位开展专业业务活动及其辅助活动取得的收入，事业单位收到的财政专户实际核拨的教育收费等资金在此反映。</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四、经营收入：指事业单位在专业业务活动及其辅助活动之外开展非独立核算经营活动取得的收入。</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五、附属单位缴款：指事业单位附属独立核算单位按照有关规定上缴的收入。</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六、其他收入：指单位取得的除上述“财政拨款收入”、“事业收入”、“经营收入”等以外的各项收入。</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七、用事业基金弥补收支差额：指事业单位用事业基金弥补当年收支差额的数额。</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八、年初结转和结余：指单位上年结转本年使用的基本支出结转、项目支出结转和结余和经营结余。</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九、结余分配：指事业单位按规定对非财政补助结余资金提取的职工福利基金、事业基金和缴纳的所得税，以及减少单位按规定应缴回的基本建设竣工项目结余资金。</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十、年末结转和结余资金：指本年度或以前年度预算安排、因客观条件发生变化无法按原计划实施，需要延迟到以后年度按有关规定继续使用的资金。</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十一、基本支出：指为保障机构正常运转、完成日常工作任务而发生的人员支出和公用支出。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十二、项目支出：指在基本支出之外为完成特定的行政任务或事业发展目标所发生的支出。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十三、上缴上级支出：指事业单位按照财政部门和主管部门的规定上缴上级单位的支出。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十四、经营支出：指事业单位在专业业务活动及其辅助活动之外开展非独立核算经营活动发生的支出。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十五、对附属单位补助支出：指事业单位用财政补助收入之外的收入对附属单位补助发生的支出。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pStyle w:val="6"/>
        <w:shd w:val="clear" w:color="auto" w:fill="FFFFFF"/>
        <w:spacing w:before="0" w:beforeAutospacing="0" w:after="75" w:afterAutospacing="0" w:line="525" w:lineRule="atLeast"/>
        <w:ind w:firstLine="480"/>
        <w:rPr>
          <w:rFonts w:ascii="仿宋" w:hAnsi="Times New Roman" w:eastAsia="仿宋" w:cs="仿宋"/>
          <w:kern w:val="2"/>
          <w:sz w:val="32"/>
          <w:szCs w:val="32"/>
        </w:rPr>
      </w:pPr>
      <w:r>
        <w:rPr>
          <w:rFonts w:hint="eastAsia" w:ascii="仿宋" w:hAnsi="Times New Roman" w:eastAsia="仿宋" w:cs="仿宋"/>
          <w:kern w:val="2"/>
          <w:sz w:val="32"/>
          <w:szCs w:val="32"/>
        </w:rPr>
        <w:t>十七、机关运行经费：指各部门的公用经费，包括办公及印刷费、邮电费、差旅费、会议费、福利费、日常维修费、专用材料及一般设备购置费、办公用房水电费、办公用房取暖费、办公用房物业管理费、公务用车运行维护费及其他费用。在财政部有明确规定前，“机关运行经费”暂指行政单位（含参照公务员法管理的事业单位）一般公共预算安排的基本支出中的“商品和服务支出”经费。</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sectPr>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script"/>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- 23 -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10"/>
  <w:drawingGridVerticalSpacing w:val="163"/>
  <w:displayVerticalDrawingGridEvery w:val="2"/>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152"/>
    <w:rsid w:val="00040F43"/>
    <w:rsid w:val="00050115"/>
    <w:rsid w:val="0008330C"/>
    <w:rsid w:val="00087438"/>
    <w:rsid w:val="00092CFD"/>
    <w:rsid w:val="000A1986"/>
    <w:rsid w:val="000B5A03"/>
    <w:rsid w:val="000E2D3E"/>
    <w:rsid w:val="00102D2E"/>
    <w:rsid w:val="001150B0"/>
    <w:rsid w:val="00121833"/>
    <w:rsid w:val="0012303C"/>
    <w:rsid w:val="0012701D"/>
    <w:rsid w:val="00166556"/>
    <w:rsid w:val="00172A27"/>
    <w:rsid w:val="001A14FD"/>
    <w:rsid w:val="001C5BBF"/>
    <w:rsid w:val="001D1545"/>
    <w:rsid w:val="001F5028"/>
    <w:rsid w:val="001F5F87"/>
    <w:rsid w:val="002032EE"/>
    <w:rsid w:val="002374B8"/>
    <w:rsid w:val="00262C4B"/>
    <w:rsid w:val="00283223"/>
    <w:rsid w:val="002929B4"/>
    <w:rsid w:val="002E1991"/>
    <w:rsid w:val="002E73CF"/>
    <w:rsid w:val="00361719"/>
    <w:rsid w:val="00366E3E"/>
    <w:rsid w:val="00397C41"/>
    <w:rsid w:val="003A7A9F"/>
    <w:rsid w:val="003B2D6C"/>
    <w:rsid w:val="003B53D9"/>
    <w:rsid w:val="003E621B"/>
    <w:rsid w:val="00400A3C"/>
    <w:rsid w:val="00406324"/>
    <w:rsid w:val="00422F58"/>
    <w:rsid w:val="00425E0C"/>
    <w:rsid w:val="00461ABD"/>
    <w:rsid w:val="00480180"/>
    <w:rsid w:val="004C10D8"/>
    <w:rsid w:val="004D4679"/>
    <w:rsid w:val="004E2235"/>
    <w:rsid w:val="004E7A4A"/>
    <w:rsid w:val="00510C86"/>
    <w:rsid w:val="005465BB"/>
    <w:rsid w:val="005A67C3"/>
    <w:rsid w:val="005C5EA1"/>
    <w:rsid w:val="005D25E1"/>
    <w:rsid w:val="005F68A2"/>
    <w:rsid w:val="005F7334"/>
    <w:rsid w:val="00604F17"/>
    <w:rsid w:val="006137CC"/>
    <w:rsid w:val="00663E48"/>
    <w:rsid w:val="006769E1"/>
    <w:rsid w:val="00687277"/>
    <w:rsid w:val="006A54CA"/>
    <w:rsid w:val="006C44CC"/>
    <w:rsid w:val="006F0401"/>
    <w:rsid w:val="007063EB"/>
    <w:rsid w:val="00732E15"/>
    <w:rsid w:val="00774479"/>
    <w:rsid w:val="007F23D6"/>
    <w:rsid w:val="00861D94"/>
    <w:rsid w:val="008679FA"/>
    <w:rsid w:val="00877285"/>
    <w:rsid w:val="008A3B49"/>
    <w:rsid w:val="008C27DA"/>
    <w:rsid w:val="008E4127"/>
    <w:rsid w:val="009108DE"/>
    <w:rsid w:val="00925CBB"/>
    <w:rsid w:val="009263E8"/>
    <w:rsid w:val="0093010A"/>
    <w:rsid w:val="009755C5"/>
    <w:rsid w:val="0098223D"/>
    <w:rsid w:val="00982971"/>
    <w:rsid w:val="00983A0A"/>
    <w:rsid w:val="009850B8"/>
    <w:rsid w:val="009940CB"/>
    <w:rsid w:val="00994A2E"/>
    <w:rsid w:val="009B17B9"/>
    <w:rsid w:val="009B7641"/>
    <w:rsid w:val="00A00FC8"/>
    <w:rsid w:val="00A24701"/>
    <w:rsid w:val="00A308BF"/>
    <w:rsid w:val="00A55D1A"/>
    <w:rsid w:val="00A921CE"/>
    <w:rsid w:val="00AA7144"/>
    <w:rsid w:val="00AF1C24"/>
    <w:rsid w:val="00B14425"/>
    <w:rsid w:val="00B458CF"/>
    <w:rsid w:val="00B50631"/>
    <w:rsid w:val="00B65811"/>
    <w:rsid w:val="00B8209F"/>
    <w:rsid w:val="00B96A83"/>
    <w:rsid w:val="00BA6D84"/>
    <w:rsid w:val="00BB0EEE"/>
    <w:rsid w:val="00C07406"/>
    <w:rsid w:val="00C37EDA"/>
    <w:rsid w:val="00C76302"/>
    <w:rsid w:val="00CB395F"/>
    <w:rsid w:val="00CD1519"/>
    <w:rsid w:val="00CD6901"/>
    <w:rsid w:val="00CD71F9"/>
    <w:rsid w:val="00D117C2"/>
    <w:rsid w:val="00DA046E"/>
    <w:rsid w:val="00DA25B1"/>
    <w:rsid w:val="00DC39B8"/>
    <w:rsid w:val="00DC4B3D"/>
    <w:rsid w:val="00DD1D55"/>
    <w:rsid w:val="00DE7BD6"/>
    <w:rsid w:val="00E341D7"/>
    <w:rsid w:val="00E53EB0"/>
    <w:rsid w:val="00E7073D"/>
    <w:rsid w:val="00E90F31"/>
    <w:rsid w:val="00EC38FA"/>
    <w:rsid w:val="00EC41BB"/>
    <w:rsid w:val="00F12596"/>
    <w:rsid w:val="00F22632"/>
    <w:rsid w:val="00F243CD"/>
    <w:rsid w:val="00F24A4B"/>
    <w:rsid w:val="00F338B7"/>
    <w:rsid w:val="00F44E37"/>
    <w:rsid w:val="00F4763B"/>
    <w:rsid w:val="00F76B34"/>
    <w:rsid w:val="00FF316E"/>
    <w:rsid w:val="02A044BB"/>
    <w:rsid w:val="04453648"/>
    <w:rsid w:val="04CB3BFD"/>
    <w:rsid w:val="05DB00B9"/>
    <w:rsid w:val="09BB2134"/>
    <w:rsid w:val="0CA434B9"/>
    <w:rsid w:val="0E4C156E"/>
    <w:rsid w:val="0EEC6187"/>
    <w:rsid w:val="10BD4691"/>
    <w:rsid w:val="11585E8B"/>
    <w:rsid w:val="15492582"/>
    <w:rsid w:val="188C302D"/>
    <w:rsid w:val="18F44D57"/>
    <w:rsid w:val="1D415527"/>
    <w:rsid w:val="1E7D3B34"/>
    <w:rsid w:val="202C5C01"/>
    <w:rsid w:val="22A51050"/>
    <w:rsid w:val="27E45AB4"/>
    <w:rsid w:val="283D43BA"/>
    <w:rsid w:val="29B70F08"/>
    <w:rsid w:val="2A2E7737"/>
    <w:rsid w:val="2BA4769A"/>
    <w:rsid w:val="2CD06EF4"/>
    <w:rsid w:val="2F335194"/>
    <w:rsid w:val="30963758"/>
    <w:rsid w:val="32EF40CE"/>
    <w:rsid w:val="34920D5F"/>
    <w:rsid w:val="35AB7798"/>
    <w:rsid w:val="372974AC"/>
    <w:rsid w:val="37515EC2"/>
    <w:rsid w:val="3949702E"/>
    <w:rsid w:val="3BE408BA"/>
    <w:rsid w:val="3C0A6AE8"/>
    <w:rsid w:val="3C7F703B"/>
    <w:rsid w:val="3D70189E"/>
    <w:rsid w:val="42271DDB"/>
    <w:rsid w:val="43910C0D"/>
    <w:rsid w:val="48B52937"/>
    <w:rsid w:val="48EE3EF3"/>
    <w:rsid w:val="4C0F672A"/>
    <w:rsid w:val="4C1E2F28"/>
    <w:rsid w:val="4CFC29CC"/>
    <w:rsid w:val="4D6E1856"/>
    <w:rsid w:val="4D772C71"/>
    <w:rsid w:val="502C04C1"/>
    <w:rsid w:val="516B1CC5"/>
    <w:rsid w:val="51DE24AB"/>
    <w:rsid w:val="5651051D"/>
    <w:rsid w:val="56EC004A"/>
    <w:rsid w:val="57897604"/>
    <w:rsid w:val="57E961A8"/>
    <w:rsid w:val="581E77CF"/>
    <w:rsid w:val="58B06254"/>
    <w:rsid w:val="5AF25131"/>
    <w:rsid w:val="600176AC"/>
    <w:rsid w:val="64440C67"/>
    <w:rsid w:val="65332BB8"/>
    <w:rsid w:val="664A46E0"/>
    <w:rsid w:val="66755D81"/>
    <w:rsid w:val="68A121F7"/>
    <w:rsid w:val="68A9241E"/>
    <w:rsid w:val="6B0E20A8"/>
    <w:rsid w:val="6B6D695A"/>
    <w:rsid w:val="6FD41D7F"/>
    <w:rsid w:val="72416639"/>
    <w:rsid w:val="738C1FE2"/>
    <w:rsid w:val="74522A42"/>
    <w:rsid w:val="75531EF6"/>
    <w:rsid w:val="75D0003D"/>
    <w:rsid w:val="764F7877"/>
    <w:rsid w:val="7AA141FF"/>
    <w:rsid w:val="7C445B57"/>
    <w:rsid w:val="7D713C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locked/>
    <w:uiPriority w:val="99"/>
    <w:pPr>
      <w:autoSpaceDE w:val="0"/>
      <w:autoSpaceDN w:val="0"/>
      <w:adjustRightInd w:val="0"/>
      <w:ind w:left="761"/>
      <w:jc w:val="left"/>
    </w:pPr>
    <w:rPr>
      <w:rFonts w:ascii="仿宋_GB2312"/>
      <w:kern w:val="0"/>
      <w:szCs w:val="32"/>
    </w:rPr>
  </w:style>
  <w:style w:type="paragraph" w:styleId="4">
    <w:name w:val="footer"/>
    <w:basedOn w:val="1"/>
    <w:link w:val="9"/>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locked/>
    <w:uiPriority w:val="99"/>
    <w:pPr>
      <w:widowControl/>
      <w:spacing w:before="100" w:beforeAutospacing="1" w:after="100" w:afterAutospacing="1"/>
      <w:jc w:val="left"/>
    </w:pPr>
    <w:rPr>
      <w:rFonts w:ascii="宋体" w:hAnsi="宋体" w:cs="宋体"/>
      <w:kern w:val="0"/>
      <w:sz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8D33E-1B95-4DE3-A836-F3785AC19B4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2216</Words>
  <Characters>12632</Characters>
  <Lines>105</Lines>
  <Paragraphs>29</Paragraphs>
  <TotalTime>3</TotalTime>
  <ScaleCrop>false</ScaleCrop>
  <LinksUpToDate>false</LinksUpToDate>
  <CharactersWithSpaces>14819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2018-09-19T07:43:00Z</dcterms:created>
  <dc:creator>wsj</dc:creator>
  <cp:lastModifiedBy>dell</cp:lastModifiedBy>
  <cp:lastPrinted>2017-09-17T08:27:00Z</cp:lastPrinted>
  <dcterms:modified xsi:type="dcterms:W3CDTF">2019-01-22T02:54:40Z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